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6102" w14:textId="77777777" w:rsidR="002E1906" w:rsidRPr="002E1906" w:rsidRDefault="002E1906" w:rsidP="002E1906">
      <w:pPr>
        <w:autoSpaceDE w:val="0"/>
        <w:autoSpaceDN w:val="0"/>
        <w:adjustRightInd w:val="0"/>
        <w:jc w:val="center"/>
        <w:rPr>
          <w:rFonts w:eastAsia="Calibri"/>
          <w:b/>
          <w:iCs w:val="0"/>
          <w:color w:val="9E213D"/>
          <w:sz w:val="28"/>
          <w:szCs w:val="28"/>
          <w:lang w:val="es-MX" w:eastAsia="en-US"/>
        </w:rPr>
      </w:pPr>
      <w:r w:rsidRPr="002E1906">
        <w:rPr>
          <w:rFonts w:eastAsia="Calibri"/>
          <w:b/>
          <w:iCs w:val="0"/>
          <w:color w:val="9E213D"/>
          <w:sz w:val="28"/>
          <w:szCs w:val="28"/>
          <w:lang w:val="es-MX" w:eastAsia="en-US"/>
        </w:rPr>
        <w:t>Notas a los estados financieros consolidados</w:t>
      </w:r>
    </w:p>
    <w:p w14:paraId="490D7FBD" w14:textId="52F5EB6A" w:rsidR="002E1906" w:rsidRPr="002E1906" w:rsidRDefault="002E1906" w:rsidP="002E1906">
      <w:pPr>
        <w:jc w:val="center"/>
        <w:rPr>
          <w:rFonts w:eastAsia="Calibri"/>
          <w:iCs w:val="0"/>
          <w:color w:val="9E213D"/>
          <w:sz w:val="24"/>
          <w:szCs w:val="24"/>
          <w:lang w:val="es-MX"/>
        </w:rPr>
      </w:pPr>
      <w:r w:rsidRPr="002E1906">
        <w:rPr>
          <w:rFonts w:eastAsia="Calibri"/>
          <w:iCs w:val="0"/>
          <w:color w:val="9E213D"/>
          <w:sz w:val="24"/>
          <w:szCs w:val="24"/>
          <w:lang w:val="es-MX"/>
        </w:rPr>
        <w:t>DEL 1 DE ENERO AL 30 DE JUNIO DE 202</w:t>
      </w:r>
      <w:r w:rsidR="00FA5396">
        <w:rPr>
          <w:rFonts w:eastAsia="Calibri"/>
          <w:iCs w:val="0"/>
          <w:color w:val="9E213D"/>
          <w:sz w:val="24"/>
          <w:szCs w:val="24"/>
          <w:lang w:val="es-MX"/>
        </w:rPr>
        <w:t>4</w:t>
      </w:r>
    </w:p>
    <w:p w14:paraId="25EA52B9" w14:textId="77777777" w:rsidR="002E1906" w:rsidRPr="002E1906" w:rsidRDefault="002E1906" w:rsidP="002E1906">
      <w:pPr>
        <w:jc w:val="center"/>
        <w:rPr>
          <w:rFonts w:eastAsia="Calibri"/>
          <w:iCs w:val="0"/>
          <w:color w:val="9E213D"/>
          <w:sz w:val="24"/>
          <w:szCs w:val="24"/>
          <w:lang w:val="es-MX"/>
        </w:rPr>
      </w:pPr>
      <w:r w:rsidRPr="002E1906">
        <w:rPr>
          <w:rFonts w:eastAsia="Calibri"/>
          <w:iCs w:val="0"/>
          <w:color w:val="9E213D"/>
          <w:sz w:val="24"/>
          <w:szCs w:val="24"/>
          <w:lang w:val="es-MX"/>
        </w:rPr>
        <w:t>(Cifras en pesos)</w:t>
      </w:r>
    </w:p>
    <w:p w14:paraId="29744D9D" w14:textId="77777777" w:rsidR="002E1906" w:rsidRPr="002E1906" w:rsidRDefault="002E1906" w:rsidP="002E1906">
      <w:pPr>
        <w:jc w:val="both"/>
        <w:outlineLvl w:val="0"/>
        <w:rPr>
          <w:rFonts w:eastAsia="Calibri"/>
          <w:iCs w:val="0"/>
          <w:lang w:val="es-MX" w:eastAsia="en-US"/>
        </w:rPr>
      </w:pPr>
      <w:bookmarkStart w:id="0" w:name="_Hlk117854077"/>
    </w:p>
    <w:bookmarkEnd w:id="0"/>
    <w:p w14:paraId="21D1E4F7" w14:textId="77777777" w:rsidR="00974726" w:rsidRPr="00974726" w:rsidRDefault="00974726" w:rsidP="00974726">
      <w:pPr>
        <w:jc w:val="both"/>
        <w:rPr>
          <w:rFonts w:eastAsia="Calibri" w:cs="Times New Roman"/>
          <w:b/>
          <w:iCs w:val="0"/>
          <w:sz w:val="24"/>
          <w:szCs w:val="24"/>
          <w:lang w:val="es-MX"/>
        </w:rPr>
      </w:pPr>
      <w:r w:rsidRPr="00974726">
        <w:rPr>
          <w:rFonts w:eastAsia="Calibri" w:cs="Times New Roman"/>
          <w:b/>
          <w:iCs w:val="0"/>
          <w:sz w:val="24"/>
          <w:szCs w:val="24"/>
          <w:lang w:val="es-MX"/>
        </w:rPr>
        <w:t>Introducción</w:t>
      </w:r>
    </w:p>
    <w:p w14:paraId="0C49A582" w14:textId="77777777" w:rsidR="00974726" w:rsidRPr="00974726" w:rsidRDefault="00974726" w:rsidP="00974726">
      <w:pPr>
        <w:jc w:val="both"/>
        <w:rPr>
          <w:rFonts w:eastAsia="Calibri" w:cs="Times New Roman"/>
          <w:b/>
          <w:iCs w:val="0"/>
          <w:lang w:val="es-MX"/>
        </w:rPr>
      </w:pPr>
    </w:p>
    <w:p w14:paraId="005F3489"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30 de junio del ejercicio fiscal 2024, con los siguientes apartados:</w:t>
      </w:r>
    </w:p>
    <w:p w14:paraId="5F6F2A1C" w14:textId="77777777" w:rsidR="00974726" w:rsidRPr="00974726" w:rsidRDefault="00974726" w:rsidP="00974726">
      <w:pPr>
        <w:jc w:val="both"/>
        <w:outlineLvl w:val="0"/>
        <w:rPr>
          <w:rFonts w:eastAsia="Calibri" w:cs="Times New Roman"/>
          <w:iCs w:val="0"/>
          <w:szCs w:val="22"/>
          <w:lang w:val="es-MX" w:eastAsia="en-US"/>
        </w:rPr>
      </w:pPr>
    </w:p>
    <w:p w14:paraId="46AF52CF" w14:textId="77777777" w:rsidR="00974726" w:rsidRPr="00974726" w:rsidRDefault="00974726" w:rsidP="00974726">
      <w:pPr>
        <w:numPr>
          <w:ilvl w:val="0"/>
          <w:numId w:val="7"/>
        </w:numPr>
        <w:spacing w:after="120"/>
        <w:ind w:left="357" w:hanging="357"/>
        <w:jc w:val="both"/>
        <w:outlineLvl w:val="0"/>
        <w:rPr>
          <w:iCs w:val="0"/>
          <w:lang w:val="es-MX" w:eastAsia="es-MX"/>
        </w:rPr>
      </w:pPr>
      <w:r w:rsidRPr="00974726">
        <w:rPr>
          <w:iCs w:val="0"/>
          <w:lang w:val="es-MX" w:eastAsia="es-MX"/>
        </w:rPr>
        <w:t>Notas de gestión administrativa,</w:t>
      </w:r>
    </w:p>
    <w:p w14:paraId="4F08A0DF" w14:textId="77777777" w:rsidR="00974726" w:rsidRPr="00974726" w:rsidRDefault="00974726" w:rsidP="00974726">
      <w:pPr>
        <w:numPr>
          <w:ilvl w:val="0"/>
          <w:numId w:val="7"/>
        </w:numPr>
        <w:spacing w:after="120"/>
        <w:ind w:left="357" w:hanging="357"/>
        <w:jc w:val="both"/>
        <w:outlineLvl w:val="0"/>
        <w:rPr>
          <w:iCs w:val="0"/>
          <w:lang w:val="es-MX" w:eastAsia="es-MX"/>
        </w:rPr>
      </w:pPr>
      <w:r w:rsidRPr="00974726">
        <w:rPr>
          <w:iCs w:val="0"/>
          <w:lang w:val="es-MX" w:eastAsia="es-MX"/>
        </w:rPr>
        <w:t>Notas de desglose, y</w:t>
      </w:r>
    </w:p>
    <w:p w14:paraId="19106467" w14:textId="77777777" w:rsidR="00974726" w:rsidRPr="00974726" w:rsidRDefault="00974726" w:rsidP="00974726">
      <w:pPr>
        <w:numPr>
          <w:ilvl w:val="0"/>
          <w:numId w:val="7"/>
        </w:numPr>
        <w:spacing w:after="120"/>
        <w:ind w:left="357" w:hanging="357"/>
        <w:jc w:val="both"/>
        <w:outlineLvl w:val="0"/>
        <w:rPr>
          <w:iCs w:val="0"/>
          <w:lang w:val="es-MX" w:eastAsia="es-MX"/>
        </w:rPr>
      </w:pPr>
      <w:r w:rsidRPr="00974726">
        <w:rPr>
          <w:iCs w:val="0"/>
          <w:lang w:val="es-MX" w:eastAsia="es-MX"/>
        </w:rPr>
        <w:t>Notas de memoria (cuentas de orden).</w:t>
      </w:r>
    </w:p>
    <w:p w14:paraId="24E891A5" w14:textId="77777777" w:rsidR="00974726" w:rsidRPr="00974726" w:rsidRDefault="00974726" w:rsidP="00974726">
      <w:pPr>
        <w:jc w:val="both"/>
        <w:outlineLvl w:val="0"/>
        <w:rPr>
          <w:iCs w:val="0"/>
          <w:lang w:val="es-MX" w:eastAsia="es-MX"/>
        </w:rPr>
      </w:pPr>
    </w:p>
    <w:p w14:paraId="092832B3"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Las cifras mostradas al 30 de junio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62DA2A4" w14:textId="77777777" w:rsidR="00974726" w:rsidRPr="00974726" w:rsidRDefault="00974726" w:rsidP="00974726">
      <w:pPr>
        <w:ind w:right="567"/>
        <w:jc w:val="both"/>
        <w:rPr>
          <w:rFonts w:eastAsia="Calibri" w:cs="Times New Roman"/>
          <w:b/>
          <w:bCs/>
          <w:iCs w:val="0"/>
          <w:caps/>
          <w:szCs w:val="22"/>
          <w:lang w:val="es-MX" w:eastAsia="en-US"/>
        </w:rPr>
      </w:pPr>
    </w:p>
    <w:p w14:paraId="7FC54E75" w14:textId="77777777" w:rsidR="00974726" w:rsidRPr="00974726" w:rsidRDefault="00974726" w:rsidP="00974726">
      <w:pPr>
        <w:ind w:right="567"/>
        <w:jc w:val="both"/>
        <w:rPr>
          <w:rFonts w:eastAsia="Calibri" w:cs="Times New Roman"/>
          <w:b/>
          <w:bCs/>
          <w:iCs w:val="0"/>
          <w:caps/>
          <w:szCs w:val="22"/>
          <w:lang w:val="es-MX" w:eastAsia="en-US"/>
        </w:rPr>
      </w:pPr>
    </w:p>
    <w:p w14:paraId="4F5FD963" w14:textId="77777777" w:rsidR="00974726" w:rsidRPr="00974726" w:rsidRDefault="00974726" w:rsidP="00974726">
      <w:pPr>
        <w:jc w:val="both"/>
        <w:rPr>
          <w:rFonts w:eastAsia="Calibri" w:cs="Times New Roman"/>
          <w:b/>
          <w:iCs w:val="0"/>
          <w:sz w:val="24"/>
          <w:szCs w:val="24"/>
          <w:lang w:val="es-MX"/>
        </w:rPr>
      </w:pPr>
      <w:r w:rsidRPr="00974726">
        <w:rPr>
          <w:rFonts w:eastAsia="Calibri" w:cs="Times New Roman"/>
          <w:b/>
          <w:iCs w:val="0"/>
          <w:sz w:val="24"/>
          <w:szCs w:val="24"/>
          <w:lang w:val="es-MX"/>
        </w:rPr>
        <w:t>Notas de gestión administrativa</w:t>
      </w:r>
    </w:p>
    <w:p w14:paraId="2B23809C"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0C09ABC1"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Las notas de gestión administrativa consolidados del Poder Judicial se integran con la información del Consejo de la Judicatura y el Tribunal Administrativo, mismas que podrán ser consultadas en la información de cada ente público.</w:t>
      </w:r>
    </w:p>
    <w:p w14:paraId="6A0EBEBD" w14:textId="77777777" w:rsidR="00974726" w:rsidRPr="00974726" w:rsidRDefault="00974726" w:rsidP="00974726">
      <w:pPr>
        <w:ind w:right="567"/>
        <w:jc w:val="both"/>
        <w:rPr>
          <w:rFonts w:eastAsia="Calibri" w:cs="Times New Roman"/>
          <w:b/>
          <w:bCs/>
          <w:iCs w:val="0"/>
          <w:caps/>
          <w:szCs w:val="22"/>
          <w:lang w:val="es-MX" w:eastAsia="en-US"/>
        </w:rPr>
      </w:pPr>
    </w:p>
    <w:p w14:paraId="52B83845" w14:textId="77777777" w:rsidR="00974726" w:rsidRPr="00974726" w:rsidRDefault="00974726" w:rsidP="00974726">
      <w:pPr>
        <w:ind w:right="567"/>
        <w:jc w:val="both"/>
        <w:rPr>
          <w:rFonts w:eastAsia="Calibri" w:cs="Times New Roman"/>
          <w:b/>
          <w:bCs/>
          <w:iCs w:val="0"/>
          <w:caps/>
          <w:szCs w:val="22"/>
          <w:lang w:val="es-MX" w:eastAsia="en-US"/>
        </w:rPr>
      </w:pPr>
    </w:p>
    <w:p w14:paraId="00538038" w14:textId="77777777" w:rsidR="00974726" w:rsidRPr="00974726" w:rsidRDefault="00974726" w:rsidP="00974726">
      <w:pPr>
        <w:jc w:val="both"/>
        <w:rPr>
          <w:rFonts w:eastAsia="Calibri" w:cs="Times New Roman"/>
          <w:b/>
          <w:iCs w:val="0"/>
          <w:sz w:val="24"/>
          <w:szCs w:val="24"/>
          <w:lang w:val="es-MX"/>
        </w:rPr>
      </w:pPr>
      <w:bookmarkStart w:id="1" w:name="_Hlk125467046"/>
      <w:r w:rsidRPr="00974726">
        <w:rPr>
          <w:rFonts w:eastAsia="Calibri" w:cs="Times New Roman"/>
          <w:b/>
          <w:iCs w:val="0"/>
          <w:sz w:val="24"/>
          <w:szCs w:val="24"/>
          <w:lang w:val="es-MX"/>
        </w:rPr>
        <w:t>Notas de desglose</w:t>
      </w:r>
    </w:p>
    <w:p w14:paraId="1E6A8CF5" w14:textId="77777777" w:rsidR="00974726" w:rsidRPr="00974726" w:rsidRDefault="00974726" w:rsidP="00974726">
      <w:pPr>
        <w:jc w:val="both"/>
        <w:rPr>
          <w:rFonts w:eastAsia="Calibri" w:cs="Times New Roman"/>
          <w:iCs w:val="0"/>
          <w:szCs w:val="22"/>
          <w:lang w:val="es-MX" w:eastAsia="es-MX"/>
        </w:rPr>
      </w:pPr>
    </w:p>
    <w:p w14:paraId="78AE57B6" w14:textId="77777777" w:rsidR="00974726" w:rsidRPr="00974726" w:rsidRDefault="00974726" w:rsidP="00974726">
      <w:pPr>
        <w:jc w:val="both"/>
        <w:rPr>
          <w:rFonts w:eastAsia="Calibri"/>
          <w:b/>
          <w:bCs/>
          <w:iCs w:val="0"/>
          <w:caps/>
        </w:rPr>
      </w:pPr>
      <w:r w:rsidRPr="00974726">
        <w:rPr>
          <w:rFonts w:eastAsia="Calibri"/>
          <w:b/>
          <w:bCs/>
          <w:iCs w:val="0"/>
        </w:rPr>
        <w:t>Notas al estado de actividades</w:t>
      </w:r>
    </w:p>
    <w:p w14:paraId="5367DEFF" w14:textId="77777777" w:rsidR="00974726" w:rsidRPr="00974726" w:rsidRDefault="00974726" w:rsidP="00974726">
      <w:pPr>
        <w:jc w:val="both"/>
        <w:outlineLvl w:val="0"/>
        <w:rPr>
          <w:rFonts w:eastAsia="Calibri" w:cs="Times New Roman"/>
          <w:iCs w:val="0"/>
          <w:szCs w:val="22"/>
          <w:lang w:val="es-MX" w:eastAsia="en-US"/>
        </w:rPr>
      </w:pPr>
    </w:p>
    <w:p w14:paraId="52E2BC78"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El resultado obtenido del 1 de enero al 30 de junio de 2024 representa un ahorro por $ 35,858,374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5F652DA5" w14:textId="77777777" w:rsidR="00974726" w:rsidRPr="00974726" w:rsidRDefault="00974726" w:rsidP="00974726">
      <w:pPr>
        <w:jc w:val="both"/>
        <w:outlineLvl w:val="0"/>
        <w:rPr>
          <w:rFonts w:eastAsia="Calibri" w:cs="Times New Roman"/>
          <w:iCs w:val="0"/>
          <w:szCs w:val="22"/>
          <w:lang w:val="es-MX" w:eastAsia="en-US"/>
        </w:rPr>
      </w:pPr>
    </w:p>
    <w:p w14:paraId="4794FBEA" w14:textId="77777777" w:rsidR="00974726" w:rsidRPr="00974726" w:rsidRDefault="00974726" w:rsidP="00974726">
      <w:pPr>
        <w:jc w:val="both"/>
        <w:rPr>
          <w:rFonts w:eastAsia="Calibri"/>
          <w:b/>
          <w:bCs/>
          <w:iCs w:val="0"/>
        </w:rPr>
      </w:pPr>
      <w:r w:rsidRPr="00974726">
        <w:rPr>
          <w:rFonts w:eastAsia="Calibri"/>
          <w:b/>
          <w:bCs/>
          <w:iCs w:val="0"/>
        </w:rPr>
        <w:t>Ingresos y otros beneficios</w:t>
      </w:r>
    </w:p>
    <w:p w14:paraId="39912C34" w14:textId="77777777" w:rsidR="00974726" w:rsidRPr="00974726" w:rsidRDefault="00974726" w:rsidP="00974726">
      <w:pPr>
        <w:jc w:val="both"/>
        <w:outlineLvl w:val="0"/>
        <w:rPr>
          <w:rFonts w:eastAsia="Calibri" w:cs="Times New Roman"/>
          <w:iCs w:val="0"/>
          <w:szCs w:val="22"/>
          <w:lang w:val="es-MX" w:eastAsia="en-US"/>
        </w:rPr>
      </w:pPr>
    </w:p>
    <w:p w14:paraId="1159ABD2"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Los ingresos ascienden a $ 541,292,520 pesos, recursos otorgados para la operación y funcionamiento del Poder Judicial, principalmente de las transferencias, así como, por las bonificaciones, reintegros, y los redondeos a favor en el pago de impuestos.</w:t>
      </w:r>
    </w:p>
    <w:p w14:paraId="38216477" w14:textId="77777777" w:rsidR="00974726" w:rsidRPr="00974726" w:rsidRDefault="00974726" w:rsidP="00974726">
      <w:pPr>
        <w:jc w:val="both"/>
        <w:outlineLvl w:val="0"/>
        <w:rPr>
          <w:rFonts w:eastAsia="Calibri" w:cs="Times New Roman"/>
          <w:b/>
          <w:bCs/>
          <w:i/>
          <w:iCs w:val="0"/>
          <w:szCs w:val="22"/>
          <w:lang w:val="es-MX" w:eastAsia="en-US"/>
        </w:rPr>
      </w:pPr>
    </w:p>
    <w:p w14:paraId="74180683" w14:textId="77777777" w:rsidR="00974726" w:rsidRPr="00974726" w:rsidRDefault="00974726" w:rsidP="00974726">
      <w:pPr>
        <w:jc w:val="both"/>
        <w:rPr>
          <w:rFonts w:eastAsia="Calibri"/>
          <w:b/>
          <w:bCs/>
          <w:iCs w:val="0"/>
        </w:rPr>
      </w:pPr>
      <w:r w:rsidRPr="00974726">
        <w:rPr>
          <w:rFonts w:eastAsia="Calibri"/>
          <w:b/>
          <w:bCs/>
          <w:iCs w:val="0"/>
        </w:rPr>
        <w:t>Gastos y otras pérdidas</w:t>
      </w:r>
    </w:p>
    <w:p w14:paraId="58BED543" w14:textId="77777777" w:rsidR="00974726" w:rsidRPr="00974726" w:rsidRDefault="00974726" w:rsidP="00974726">
      <w:pPr>
        <w:jc w:val="both"/>
        <w:outlineLvl w:val="0"/>
        <w:rPr>
          <w:rFonts w:eastAsia="Calibri" w:cs="Times New Roman"/>
          <w:b/>
          <w:bCs/>
          <w:i/>
          <w:szCs w:val="22"/>
          <w:lang w:val="es-MX" w:eastAsia="en-US"/>
        </w:rPr>
      </w:pPr>
    </w:p>
    <w:p w14:paraId="2C0846FB"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Los gastos y otras pérdidas son aquellas cuentas que registran los gastos de funcionamiento del Poder Judicial, aplicados en proyectos a favor de la ciudadanía, así como, las diferencias y los redondeos a cargo por concepto de pagos de impuestos y facturas. </w:t>
      </w:r>
    </w:p>
    <w:p w14:paraId="5497C447" w14:textId="77777777" w:rsidR="00974726" w:rsidRPr="00974726" w:rsidRDefault="00974726" w:rsidP="00974726">
      <w:pPr>
        <w:jc w:val="both"/>
        <w:outlineLvl w:val="0"/>
        <w:rPr>
          <w:rFonts w:eastAsia="Calibri" w:cs="Times New Roman"/>
          <w:iCs w:val="0"/>
          <w:szCs w:val="22"/>
          <w:lang w:val="es-MX" w:eastAsia="en-US"/>
        </w:rPr>
      </w:pPr>
    </w:p>
    <w:p w14:paraId="5D51C15E"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También, se encuentra el registro de aquellos bienes enajenables e inventariables, cuyo costo unitario de adquisición no sobrepasa 70 veces el valor diario de la Unidad de Medida y Actualización (UMA).</w:t>
      </w:r>
    </w:p>
    <w:p w14:paraId="24740A5E" w14:textId="77777777" w:rsidR="00974726" w:rsidRPr="00974726" w:rsidRDefault="00974726" w:rsidP="00974726">
      <w:pPr>
        <w:jc w:val="both"/>
        <w:outlineLvl w:val="0"/>
        <w:rPr>
          <w:rFonts w:eastAsia="Calibri" w:cs="Times New Roman"/>
          <w:iCs w:val="0"/>
          <w:szCs w:val="22"/>
          <w:lang w:val="es-MX" w:eastAsia="en-US"/>
        </w:rPr>
      </w:pPr>
    </w:p>
    <w:p w14:paraId="12BE7C1D"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Este rubro asciende a un importe de $ 505,434,146 pesos.</w:t>
      </w:r>
    </w:p>
    <w:p w14:paraId="30AC0E59" w14:textId="77777777" w:rsidR="00974726" w:rsidRPr="00974726" w:rsidRDefault="00974726" w:rsidP="00974726">
      <w:pPr>
        <w:jc w:val="both"/>
        <w:outlineLvl w:val="0"/>
        <w:rPr>
          <w:rFonts w:eastAsia="Calibri" w:cs="Times New Roman"/>
          <w:iCs w:val="0"/>
          <w:szCs w:val="22"/>
          <w:lang w:val="es-MX" w:eastAsia="en-US"/>
        </w:rPr>
      </w:pPr>
    </w:p>
    <w:p w14:paraId="53AF2D72" w14:textId="77777777" w:rsidR="00974726" w:rsidRPr="00974726" w:rsidRDefault="00974726" w:rsidP="00974726">
      <w:pPr>
        <w:jc w:val="both"/>
        <w:outlineLvl w:val="0"/>
        <w:rPr>
          <w:rFonts w:eastAsia="Calibri" w:cs="Times New Roman"/>
          <w:iCs w:val="0"/>
          <w:szCs w:val="22"/>
          <w:lang w:val="es-MX" w:eastAsia="en-US"/>
        </w:rPr>
      </w:pPr>
    </w:p>
    <w:p w14:paraId="026F4256" w14:textId="77777777" w:rsidR="00974726" w:rsidRPr="00974726" w:rsidRDefault="00974726" w:rsidP="00974726">
      <w:pPr>
        <w:jc w:val="both"/>
        <w:outlineLvl w:val="0"/>
        <w:rPr>
          <w:rFonts w:eastAsia="Calibri" w:cs="Times New Roman"/>
          <w:iCs w:val="0"/>
          <w:szCs w:val="22"/>
          <w:lang w:val="es-MX" w:eastAsia="en-US"/>
        </w:rPr>
      </w:pPr>
    </w:p>
    <w:p w14:paraId="0150A182" w14:textId="77777777" w:rsidR="00974726" w:rsidRPr="00974726" w:rsidRDefault="00974726" w:rsidP="00974726">
      <w:pPr>
        <w:jc w:val="both"/>
        <w:outlineLvl w:val="0"/>
        <w:rPr>
          <w:rFonts w:eastAsia="Calibri" w:cs="Times New Roman"/>
          <w:iCs w:val="0"/>
          <w:szCs w:val="22"/>
          <w:lang w:val="es-MX" w:eastAsia="en-US"/>
        </w:rPr>
      </w:pPr>
    </w:p>
    <w:p w14:paraId="1740ADC5" w14:textId="77777777" w:rsidR="00974726" w:rsidRDefault="00974726">
      <w:pPr>
        <w:rPr>
          <w:rFonts w:eastAsia="Calibri"/>
          <w:b/>
          <w:bCs/>
          <w:iCs w:val="0"/>
        </w:rPr>
      </w:pPr>
      <w:r>
        <w:rPr>
          <w:rFonts w:eastAsia="Calibri"/>
          <w:b/>
          <w:bCs/>
          <w:iCs w:val="0"/>
        </w:rPr>
        <w:br w:type="page"/>
      </w:r>
    </w:p>
    <w:p w14:paraId="0D50978D" w14:textId="05C2A500" w:rsidR="00974726" w:rsidRPr="00974726" w:rsidRDefault="00974726" w:rsidP="00974726">
      <w:pPr>
        <w:jc w:val="both"/>
        <w:rPr>
          <w:rFonts w:eastAsia="Calibri"/>
          <w:b/>
          <w:bCs/>
          <w:iCs w:val="0"/>
          <w:caps/>
        </w:rPr>
      </w:pPr>
      <w:r w:rsidRPr="00974726">
        <w:rPr>
          <w:rFonts w:eastAsia="Calibri"/>
          <w:b/>
          <w:bCs/>
          <w:iCs w:val="0"/>
        </w:rPr>
        <w:lastRenderedPageBreak/>
        <w:t>Notas al estado de situación financiera</w:t>
      </w:r>
    </w:p>
    <w:p w14:paraId="67D2C3D9" w14:textId="77777777" w:rsidR="00974726" w:rsidRPr="00974726" w:rsidRDefault="00974726" w:rsidP="00974726">
      <w:pPr>
        <w:jc w:val="both"/>
        <w:outlineLvl w:val="0"/>
        <w:rPr>
          <w:rFonts w:eastAsia="Calibri"/>
          <w:b/>
          <w:bCs/>
          <w:iCs w:val="0"/>
          <w:szCs w:val="22"/>
          <w:lang w:val="es-MX" w:eastAsia="en-US"/>
        </w:rPr>
      </w:pPr>
    </w:p>
    <w:p w14:paraId="1BB03B6D" w14:textId="77777777" w:rsidR="00974726" w:rsidRPr="00974726" w:rsidRDefault="00974726" w:rsidP="00974726">
      <w:pPr>
        <w:jc w:val="both"/>
        <w:rPr>
          <w:rFonts w:eastAsia="Calibri"/>
          <w:b/>
          <w:bCs/>
          <w:iCs w:val="0"/>
        </w:rPr>
      </w:pPr>
      <w:r w:rsidRPr="00974726">
        <w:rPr>
          <w:rFonts w:eastAsia="Calibri"/>
          <w:b/>
          <w:bCs/>
          <w:iCs w:val="0"/>
        </w:rPr>
        <w:t>Activo</w:t>
      </w:r>
    </w:p>
    <w:p w14:paraId="52E47740" w14:textId="77777777" w:rsidR="00974726" w:rsidRPr="00974726" w:rsidRDefault="00974726" w:rsidP="00974726">
      <w:pPr>
        <w:jc w:val="both"/>
        <w:rPr>
          <w:rFonts w:eastAsia="Calibri"/>
          <w:iCs w:val="0"/>
          <w:lang w:val="es-MX" w:eastAsia="en-US"/>
        </w:rPr>
      </w:pPr>
    </w:p>
    <w:bookmarkEnd w:id="1"/>
    <w:p w14:paraId="21BFA400"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El activo se compone de los fondos, valores, derechos y bienes cuantificados en términos monetarios, los cuales controla y dispone el Poder Judicial para la prestación de servicios públicos, éste se integra como sigue:</w:t>
      </w:r>
    </w:p>
    <w:p w14:paraId="50034DFE" w14:textId="77777777" w:rsidR="00974726" w:rsidRPr="00974726" w:rsidRDefault="00974726" w:rsidP="00974726">
      <w:pPr>
        <w:jc w:val="both"/>
        <w:rPr>
          <w:rFonts w:eastAsia="Calibri" w:cs="Times New Roman"/>
          <w:iCs w:val="0"/>
          <w:szCs w:val="22"/>
          <w:lang w:val="es-MX" w:eastAsia="en-US"/>
        </w:rPr>
      </w:pPr>
    </w:p>
    <w:p w14:paraId="29D3F9BE" w14:textId="77777777" w:rsidR="00974726" w:rsidRPr="00974726" w:rsidRDefault="00974726" w:rsidP="00974726">
      <w:pPr>
        <w:jc w:val="both"/>
        <w:rPr>
          <w:rFonts w:eastAsia="Calibri"/>
          <w:b/>
          <w:bCs/>
          <w:iCs w:val="0"/>
        </w:rPr>
      </w:pPr>
      <w:bookmarkStart w:id="2" w:name="_Hlk125467084"/>
      <w:r w:rsidRPr="00974726">
        <w:rPr>
          <w:rFonts w:eastAsia="Calibri"/>
          <w:b/>
          <w:bCs/>
          <w:iCs w:val="0"/>
        </w:rPr>
        <w:t>Circulante</w:t>
      </w:r>
      <w:bookmarkEnd w:id="2"/>
    </w:p>
    <w:p w14:paraId="4420BA27" w14:textId="77777777" w:rsidR="00974726" w:rsidRPr="00974726" w:rsidRDefault="00974726" w:rsidP="00974726">
      <w:pPr>
        <w:jc w:val="both"/>
        <w:rPr>
          <w:rFonts w:eastAsia="Calibri"/>
          <w:b/>
          <w:bCs/>
          <w:iCs w:val="0"/>
        </w:rPr>
      </w:pPr>
    </w:p>
    <w:p w14:paraId="369232A0" w14:textId="77777777" w:rsidR="00974726" w:rsidRPr="00974726" w:rsidRDefault="00974726" w:rsidP="00974726">
      <w:pPr>
        <w:jc w:val="center"/>
        <w:outlineLvl w:val="0"/>
        <w:rPr>
          <w:rFonts w:eastAsia="Calibri"/>
          <w:b/>
          <w:bCs/>
          <w:i/>
          <w:iCs w:val="0"/>
          <w:lang w:val="es-MX" w:eastAsia="en-US"/>
        </w:rPr>
      </w:pPr>
      <w:bookmarkStart w:id="3" w:name="_Hlk125467109"/>
      <w:r w:rsidRPr="00974726">
        <w:rPr>
          <w:rFonts w:eastAsia="Calibri"/>
          <w:b/>
          <w:bCs/>
          <w:i/>
          <w:iCs w:val="0"/>
          <w:noProof/>
          <w:lang w:val="es-MX" w:eastAsia="en-US"/>
        </w:rPr>
        <w:drawing>
          <wp:inline distT="0" distB="0" distL="0" distR="0" wp14:anchorId="01B56D2E" wp14:editId="282A2713">
            <wp:extent cx="5297805" cy="22193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2219325"/>
                    </a:xfrm>
                    <a:prstGeom prst="rect">
                      <a:avLst/>
                    </a:prstGeom>
                    <a:noFill/>
                  </pic:spPr>
                </pic:pic>
              </a:graphicData>
            </a:graphic>
          </wp:inline>
        </w:drawing>
      </w:r>
    </w:p>
    <w:p w14:paraId="21ACF067" w14:textId="77777777" w:rsidR="00974726" w:rsidRPr="00974726" w:rsidRDefault="00974726" w:rsidP="00974726">
      <w:pPr>
        <w:jc w:val="both"/>
        <w:outlineLvl w:val="0"/>
        <w:rPr>
          <w:rFonts w:eastAsia="Calibri"/>
          <w:b/>
          <w:bCs/>
          <w:i/>
          <w:iCs w:val="0"/>
          <w:lang w:val="es-MX" w:eastAsia="en-US"/>
        </w:rPr>
      </w:pPr>
    </w:p>
    <w:p w14:paraId="028F75D0" w14:textId="77777777" w:rsidR="00974726" w:rsidRPr="00974726" w:rsidRDefault="00974726" w:rsidP="00974726">
      <w:pPr>
        <w:jc w:val="both"/>
        <w:outlineLvl w:val="0"/>
        <w:rPr>
          <w:rFonts w:eastAsia="Calibri"/>
          <w:b/>
          <w:bCs/>
          <w:i/>
          <w:iCs w:val="0"/>
          <w:lang w:val="es-MX" w:eastAsia="en-US"/>
        </w:rPr>
      </w:pPr>
    </w:p>
    <w:p w14:paraId="54A77099" w14:textId="77777777" w:rsidR="00974726" w:rsidRPr="00974726" w:rsidRDefault="00974726" w:rsidP="00974726">
      <w:pPr>
        <w:jc w:val="both"/>
        <w:outlineLvl w:val="0"/>
        <w:rPr>
          <w:rFonts w:eastAsia="Calibri"/>
          <w:b/>
          <w:bCs/>
          <w:i/>
          <w:iCs w:val="0"/>
          <w:u w:val="single"/>
          <w:lang w:val="es-MX" w:eastAsia="en-US"/>
        </w:rPr>
      </w:pPr>
      <w:r w:rsidRPr="00974726">
        <w:rPr>
          <w:rFonts w:eastAsia="Calibri"/>
          <w:b/>
          <w:bCs/>
          <w:i/>
          <w:iCs w:val="0"/>
          <w:u w:val="single"/>
          <w:lang w:val="es-MX" w:eastAsia="en-US"/>
        </w:rPr>
        <w:t>Efectivo y equivalentes</w:t>
      </w:r>
    </w:p>
    <w:bookmarkEnd w:id="3"/>
    <w:p w14:paraId="369774BA" w14:textId="77777777" w:rsidR="00974726" w:rsidRPr="00974726" w:rsidRDefault="00974726" w:rsidP="00974726">
      <w:pPr>
        <w:autoSpaceDE w:val="0"/>
        <w:autoSpaceDN w:val="0"/>
        <w:adjustRightInd w:val="0"/>
        <w:jc w:val="both"/>
        <w:rPr>
          <w:rFonts w:eastAsia="Calibri" w:cs="Times New Roman"/>
          <w:b/>
          <w:bCs/>
          <w:iCs w:val="0"/>
          <w:szCs w:val="22"/>
          <w:lang w:val="es-MX" w:eastAsia="en-US"/>
        </w:rPr>
      </w:pPr>
    </w:p>
    <w:p w14:paraId="6B65D790"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Del 1 de enero al 30 de junio de 2024 este rubro presenta la cifra de $ 218,667,611 pesos, y representa el 99.7 % del activo circulante, integrado en gran parte por la disponibilidad financiera en cuentas bancarias para cubrir los compromisos de pago a proveedores y prestadores de servicios, pagos de sueldos, cuotas patronales e impuestos retenidos. Además, se compone por recursos de libre disposición para pago de gastos de operación y adeudos con proveedores.</w:t>
      </w:r>
    </w:p>
    <w:p w14:paraId="3D0BA0E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0228A5D9"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Por otra </w:t>
      </w:r>
      <w:proofErr w:type="gramStart"/>
      <w:r w:rsidRPr="00974726">
        <w:rPr>
          <w:rFonts w:eastAsia="Calibri" w:cs="Times New Roman"/>
          <w:iCs w:val="0"/>
          <w:szCs w:val="22"/>
          <w:lang w:val="es-MX" w:eastAsia="en-US"/>
        </w:rPr>
        <w:t>parte</w:t>
      </w:r>
      <w:proofErr w:type="gramEnd"/>
      <w:r w:rsidRPr="00974726">
        <w:rPr>
          <w:rFonts w:eastAsia="Calibri" w:cs="Times New Roman"/>
          <w:iCs w:val="0"/>
          <w:szCs w:val="22"/>
          <w:lang w:val="es-MX" w:eastAsia="en-US"/>
        </w:rPr>
        <w:t xml:space="preserve"> se incluyen también:</w:t>
      </w:r>
    </w:p>
    <w:p w14:paraId="6C6F26D5"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F31B1A3" w14:textId="77777777" w:rsidR="00974726" w:rsidRPr="00974726" w:rsidRDefault="00974726" w:rsidP="00974726">
      <w:pPr>
        <w:numPr>
          <w:ilvl w:val="0"/>
          <w:numId w:val="13"/>
        </w:numPr>
        <w:autoSpaceDE w:val="0"/>
        <w:autoSpaceDN w:val="0"/>
        <w:adjustRightInd w:val="0"/>
        <w:spacing w:after="120"/>
        <w:ind w:left="357" w:hanging="357"/>
        <w:jc w:val="both"/>
        <w:rPr>
          <w:iCs w:val="0"/>
          <w:lang w:val="es-MX" w:eastAsia="es-MX"/>
        </w:rPr>
      </w:pPr>
      <w:r w:rsidRPr="00974726">
        <w:rPr>
          <w:iCs w:val="0"/>
          <w:lang w:val="es-MX" w:eastAsia="es-MX"/>
        </w:rPr>
        <w:t>Los depósitos en garantía por servicios básicos (Radio Móvil Dipsa S.A. de C.V.).</w:t>
      </w:r>
    </w:p>
    <w:p w14:paraId="3078BF83" w14:textId="77777777" w:rsidR="00974726" w:rsidRPr="00974726" w:rsidRDefault="00974726" w:rsidP="00974726">
      <w:pPr>
        <w:autoSpaceDE w:val="0"/>
        <w:autoSpaceDN w:val="0"/>
        <w:adjustRightInd w:val="0"/>
        <w:spacing w:after="120"/>
        <w:jc w:val="both"/>
        <w:rPr>
          <w:iCs w:val="0"/>
          <w:lang w:val="es-MX" w:eastAsia="es-MX"/>
        </w:rPr>
      </w:pPr>
      <w:r w:rsidRPr="00974726">
        <w:rPr>
          <w:iCs w:val="0"/>
          <w:lang w:val="es-MX" w:eastAsia="es-MX"/>
        </w:rPr>
        <w:t>Asimismo, se incluye el fondo revolvente y cuentas por gastos a comprobar asignado a funcionarios del Poder Judicial, para cubrir gastos menores y emergentes.</w:t>
      </w:r>
    </w:p>
    <w:p w14:paraId="2357E3D3"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7DCBEA51" w14:textId="77777777" w:rsidR="00974726" w:rsidRPr="00974726" w:rsidRDefault="00974726" w:rsidP="00974726">
      <w:pPr>
        <w:autoSpaceDE w:val="0"/>
        <w:autoSpaceDN w:val="0"/>
        <w:adjustRightInd w:val="0"/>
        <w:jc w:val="center"/>
        <w:rPr>
          <w:rFonts w:eastAsia="Calibri" w:cs="Times New Roman"/>
          <w:b/>
          <w:i/>
          <w:iCs w:val="0"/>
          <w:szCs w:val="22"/>
          <w:lang w:val="es-MX" w:eastAsia="en-US"/>
        </w:rPr>
      </w:pPr>
      <w:r w:rsidRPr="00974726">
        <w:rPr>
          <w:rFonts w:eastAsia="Calibri" w:cs="Times New Roman"/>
          <w:iCs w:val="0"/>
          <w:noProof/>
          <w:szCs w:val="22"/>
          <w:lang w:val="es-MX" w:eastAsia="en-US"/>
        </w:rPr>
        <w:drawing>
          <wp:inline distT="0" distB="0" distL="0" distR="0" wp14:anchorId="7429C191" wp14:editId="00F3DB54">
            <wp:extent cx="4953000" cy="1676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676400"/>
                    </a:xfrm>
                    <a:prstGeom prst="rect">
                      <a:avLst/>
                    </a:prstGeom>
                    <a:noFill/>
                    <a:ln>
                      <a:noFill/>
                    </a:ln>
                  </pic:spPr>
                </pic:pic>
              </a:graphicData>
            </a:graphic>
          </wp:inline>
        </w:drawing>
      </w:r>
    </w:p>
    <w:p w14:paraId="12E92F5F" w14:textId="77777777" w:rsidR="00974726" w:rsidRPr="00974726" w:rsidRDefault="00974726" w:rsidP="00974726">
      <w:pPr>
        <w:jc w:val="both"/>
        <w:outlineLvl w:val="0"/>
        <w:rPr>
          <w:rFonts w:eastAsia="Calibri"/>
          <w:b/>
          <w:bCs/>
          <w:i/>
          <w:iCs w:val="0"/>
          <w:u w:val="single"/>
          <w:lang w:val="es-MX" w:eastAsia="en-US"/>
        </w:rPr>
      </w:pPr>
    </w:p>
    <w:p w14:paraId="16CB126D" w14:textId="77777777" w:rsidR="00974726" w:rsidRPr="00974726" w:rsidRDefault="00974726" w:rsidP="00974726">
      <w:pPr>
        <w:jc w:val="both"/>
        <w:outlineLvl w:val="0"/>
        <w:rPr>
          <w:rFonts w:eastAsia="Calibri"/>
          <w:b/>
          <w:bCs/>
          <w:i/>
          <w:iCs w:val="0"/>
          <w:u w:val="single"/>
          <w:lang w:val="es-MX" w:eastAsia="en-US"/>
        </w:rPr>
      </w:pPr>
    </w:p>
    <w:p w14:paraId="54250D1B" w14:textId="77777777" w:rsidR="00974726" w:rsidRDefault="00974726">
      <w:pPr>
        <w:rPr>
          <w:rFonts w:eastAsia="Calibri"/>
          <w:b/>
          <w:bCs/>
          <w:i/>
          <w:iCs w:val="0"/>
          <w:u w:val="single"/>
          <w:lang w:val="es-MX" w:eastAsia="en-US"/>
        </w:rPr>
      </w:pPr>
      <w:r>
        <w:rPr>
          <w:rFonts w:eastAsia="Calibri"/>
          <w:b/>
          <w:bCs/>
          <w:i/>
          <w:iCs w:val="0"/>
          <w:u w:val="single"/>
          <w:lang w:val="es-MX" w:eastAsia="en-US"/>
        </w:rPr>
        <w:br w:type="page"/>
      </w:r>
    </w:p>
    <w:p w14:paraId="078E9AF2" w14:textId="27571DF5" w:rsidR="00974726" w:rsidRPr="00974726" w:rsidRDefault="00974726" w:rsidP="00974726">
      <w:pPr>
        <w:jc w:val="both"/>
        <w:outlineLvl w:val="0"/>
        <w:rPr>
          <w:rFonts w:eastAsia="Calibri"/>
          <w:b/>
          <w:bCs/>
          <w:i/>
          <w:iCs w:val="0"/>
          <w:u w:val="single"/>
          <w:lang w:val="es-MX" w:eastAsia="en-US"/>
        </w:rPr>
      </w:pPr>
      <w:r w:rsidRPr="00974726">
        <w:rPr>
          <w:rFonts w:eastAsia="Calibri"/>
          <w:b/>
          <w:bCs/>
          <w:i/>
          <w:iCs w:val="0"/>
          <w:u w:val="single"/>
          <w:lang w:val="es-MX" w:eastAsia="en-US"/>
        </w:rPr>
        <w:lastRenderedPageBreak/>
        <w:t>Derechos a recibir efectivo o equivalentes</w:t>
      </w:r>
    </w:p>
    <w:p w14:paraId="04DAE400"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5C697C4F"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Este rubro del activo circulante, asciende a $ 732,752 pesos y se integra por cargos bancarios por aclarar, así como, por los gastos pendientes de comprobar por concepto de combustible, cuotas pagadas en demasía y pago de servicios necesarios para la operatividad de los entes públicos que integran al Poder Judicial al 30 de junio de 2024.</w:t>
      </w:r>
    </w:p>
    <w:p w14:paraId="55D2D843"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4BF5BF5"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Este rubro representa el 0.3 % del total del activo circulante.</w:t>
      </w:r>
    </w:p>
    <w:p w14:paraId="0C3782C6"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48A0A552" w14:textId="77777777" w:rsidR="00974726" w:rsidRPr="00974726" w:rsidRDefault="00974726" w:rsidP="00974726">
      <w:pPr>
        <w:autoSpaceDE w:val="0"/>
        <w:autoSpaceDN w:val="0"/>
        <w:adjustRightInd w:val="0"/>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2631DE8A" wp14:editId="62331060">
            <wp:extent cx="4953000" cy="11525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152525"/>
                    </a:xfrm>
                    <a:prstGeom prst="rect">
                      <a:avLst/>
                    </a:prstGeom>
                    <a:noFill/>
                    <a:ln>
                      <a:noFill/>
                    </a:ln>
                  </pic:spPr>
                </pic:pic>
              </a:graphicData>
            </a:graphic>
          </wp:inline>
        </w:drawing>
      </w:r>
    </w:p>
    <w:p w14:paraId="55F307E4"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67828C25"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16474AE0" w14:textId="77777777" w:rsidR="00974726" w:rsidRPr="00974726" w:rsidRDefault="00974726" w:rsidP="00974726">
      <w:pPr>
        <w:jc w:val="both"/>
        <w:rPr>
          <w:rFonts w:eastAsia="Calibri"/>
          <w:b/>
          <w:bCs/>
          <w:iCs w:val="0"/>
        </w:rPr>
      </w:pPr>
      <w:r w:rsidRPr="00974726">
        <w:rPr>
          <w:rFonts w:eastAsia="Calibri"/>
          <w:b/>
          <w:bCs/>
          <w:iCs w:val="0"/>
        </w:rPr>
        <w:t>No circulante</w:t>
      </w:r>
    </w:p>
    <w:p w14:paraId="48102846" w14:textId="77777777" w:rsidR="00974726" w:rsidRPr="00974726" w:rsidRDefault="00974726" w:rsidP="00974726">
      <w:pPr>
        <w:autoSpaceDE w:val="0"/>
        <w:autoSpaceDN w:val="0"/>
        <w:adjustRightInd w:val="0"/>
        <w:jc w:val="both"/>
        <w:rPr>
          <w:rFonts w:eastAsia="Calibri"/>
          <w:b/>
          <w:bCs/>
          <w:iCs w:val="0"/>
          <w:lang w:val="es-MX" w:eastAsia="en-US"/>
        </w:rPr>
      </w:pPr>
    </w:p>
    <w:p w14:paraId="2EE5E869" w14:textId="77777777" w:rsidR="00974726" w:rsidRPr="00974726" w:rsidRDefault="00974726" w:rsidP="00974726">
      <w:pPr>
        <w:autoSpaceDE w:val="0"/>
        <w:autoSpaceDN w:val="0"/>
        <w:adjustRightInd w:val="0"/>
        <w:jc w:val="center"/>
        <w:rPr>
          <w:rFonts w:eastAsia="Calibri"/>
          <w:b/>
          <w:bCs/>
          <w:iCs w:val="0"/>
          <w:lang w:val="es-MX" w:eastAsia="en-US"/>
        </w:rPr>
      </w:pPr>
      <w:r w:rsidRPr="00974726">
        <w:rPr>
          <w:rFonts w:eastAsia="Calibri"/>
          <w:b/>
          <w:bCs/>
          <w:iCs w:val="0"/>
          <w:noProof/>
          <w:lang w:val="es-MX" w:eastAsia="en-US"/>
        </w:rPr>
        <w:drawing>
          <wp:inline distT="0" distB="0" distL="0" distR="0" wp14:anchorId="5C0819B6" wp14:editId="3DCF53C1">
            <wp:extent cx="6120000" cy="2226591"/>
            <wp:effectExtent l="0" t="0" r="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2226591"/>
                    </a:xfrm>
                    <a:prstGeom prst="rect">
                      <a:avLst/>
                    </a:prstGeom>
                    <a:noFill/>
                  </pic:spPr>
                </pic:pic>
              </a:graphicData>
            </a:graphic>
          </wp:inline>
        </w:drawing>
      </w:r>
    </w:p>
    <w:p w14:paraId="4511DBF6"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593041B6"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2B55B8B0" w14:textId="77777777" w:rsidR="00974726" w:rsidRPr="00974726" w:rsidRDefault="00974726" w:rsidP="00974726">
      <w:pPr>
        <w:autoSpaceDE w:val="0"/>
        <w:autoSpaceDN w:val="0"/>
        <w:adjustRightInd w:val="0"/>
        <w:jc w:val="both"/>
        <w:outlineLvl w:val="0"/>
        <w:rPr>
          <w:rFonts w:eastAsia="Calibri" w:cs="Times New Roman"/>
          <w:b/>
          <w:bCs/>
          <w:i/>
          <w:szCs w:val="22"/>
          <w:u w:val="single"/>
          <w:lang w:val="es-MX" w:eastAsia="en-US"/>
        </w:rPr>
      </w:pPr>
      <w:r w:rsidRPr="00974726">
        <w:rPr>
          <w:rFonts w:eastAsia="Calibri" w:cs="Times New Roman"/>
          <w:b/>
          <w:bCs/>
          <w:i/>
          <w:iCs w:val="0"/>
          <w:szCs w:val="22"/>
          <w:u w:val="single"/>
          <w:lang w:val="es-MX" w:eastAsia="en-US"/>
        </w:rPr>
        <w:t>Derechos a recibir efectivo o equivalentes a largo plazo</w:t>
      </w:r>
    </w:p>
    <w:p w14:paraId="129AFC0D" w14:textId="77777777" w:rsidR="00974726" w:rsidRPr="00974726" w:rsidRDefault="00974726" w:rsidP="00974726">
      <w:pPr>
        <w:autoSpaceDE w:val="0"/>
        <w:autoSpaceDN w:val="0"/>
        <w:adjustRightInd w:val="0"/>
        <w:jc w:val="both"/>
        <w:outlineLvl w:val="0"/>
        <w:rPr>
          <w:rFonts w:eastAsia="Calibri" w:cs="Times New Roman"/>
          <w:b/>
          <w:bCs/>
          <w:i/>
          <w:szCs w:val="22"/>
          <w:lang w:val="es-MX" w:eastAsia="en-US"/>
        </w:rPr>
      </w:pPr>
    </w:p>
    <w:p w14:paraId="5EC43678"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Al 30 de junio de 2024 el rubro de derechos a recibir efectivo o equivalentes a largo plazo, y representa el 0.2 % del activo no circulante y se compone principalmente por préstamos a cuenta de remuneraciones concedidos a funcionarios del Poder Judicial, y por fondo revolvente pendiente de ser comprobado, así como, los gastos a comprobar, cargos bancarios por aclarar y préstamo interno del fondo auxiliar. </w:t>
      </w:r>
    </w:p>
    <w:p w14:paraId="286A78D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7AA31B0"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En su totalidad este rubro, presenta un saldo de $ 1,628,873 pesos.</w:t>
      </w:r>
    </w:p>
    <w:p w14:paraId="7740EA2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063C35F" w14:textId="77777777" w:rsidR="00974726" w:rsidRPr="00974726" w:rsidRDefault="00974726" w:rsidP="00974726">
      <w:pPr>
        <w:autoSpaceDE w:val="0"/>
        <w:autoSpaceDN w:val="0"/>
        <w:adjustRightInd w:val="0"/>
        <w:jc w:val="center"/>
        <w:outlineLvl w:val="0"/>
        <w:rPr>
          <w:rFonts w:eastAsia="Calibri" w:cs="Times New Roman"/>
          <w:b/>
          <w:bCs/>
          <w:i/>
          <w:iCs w:val="0"/>
          <w:szCs w:val="22"/>
          <w:lang w:val="es-MX" w:eastAsia="en-US"/>
        </w:rPr>
      </w:pPr>
      <w:r w:rsidRPr="00974726">
        <w:rPr>
          <w:rFonts w:eastAsia="Calibri" w:cs="Times New Roman"/>
          <w:iCs w:val="0"/>
          <w:noProof/>
          <w:szCs w:val="22"/>
          <w:lang w:val="es-MX" w:eastAsia="en-US"/>
        </w:rPr>
        <w:drawing>
          <wp:inline distT="0" distB="0" distL="0" distR="0" wp14:anchorId="55CCD786" wp14:editId="2E75034D">
            <wp:extent cx="4953000" cy="96202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5E4AC7E3"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75E32807"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106FFE0F" w14:textId="77777777" w:rsidR="00974726" w:rsidRDefault="00974726">
      <w:pPr>
        <w:rPr>
          <w:rFonts w:eastAsia="Calibri" w:cs="Times New Roman"/>
          <w:b/>
          <w:bCs/>
          <w:i/>
          <w:iCs w:val="0"/>
          <w:szCs w:val="22"/>
          <w:u w:val="single"/>
          <w:lang w:val="es-MX" w:eastAsia="en-US"/>
        </w:rPr>
      </w:pPr>
      <w:r>
        <w:rPr>
          <w:rFonts w:eastAsia="Calibri" w:cs="Times New Roman"/>
          <w:b/>
          <w:bCs/>
          <w:i/>
          <w:iCs w:val="0"/>
          <w:szCs w:val="22"/>
          <w:u w:val="single"/>
          <w:lang w:val="es-MX" w:eastAsia="en-US"/>
        </w:rPr>
        <w:br w:type="page"/>
      </w:r>
    </w:p>
    <w:p w14:paraId="26838935" w14:textId="2C749B21" w:rsidR="00974726" w:rsidRPr="00974726" w:rsidRDefault="00974726" w:rsidP="00974726">
      <w:pPr>
        <w:autoSpaceDE w:val="0"/>
        <w:autoSpaceDN w:val="0"/>
        <w:adjustRightInd w:val="0"/>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lastRenderedPageBreak/>
        <w:t>Bienes inmuebles, infraestructura y construcciones en proceso</w:t>
      </w:r>
    </w:p>
    <w:p w14:paraId="1F33890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71D868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Este rubro del activo refleja la cifra de $ 513,391,998 pesos y registra el valor de los bienes inmuebles como son: edificios no habitacionales, principalmente de los juzgados de garantía y tribunales de juicio oral; y terrenos, que posee el Poder Judicial, al 30 de junio de 2024.</w:t>
      </w:r>
    </w:p>
    <w:p w14:paraId="62BF85FE"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68845902"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Del total del activo no circulante este rubro representa el 63.7 %. </w:t>
      </w:r>
    </w:p>
    <w:p w14:paraId="3857859B"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0AD6A05" w14:textId="77777777" w:rsidR="00974726" w:rsidRPr="00974726" w:rsidRDefault="00974726" w:rsidP="00974726">
      <w:pPr>
        <w:autoSpaceDE w:val="0"/>
        <w:autoSpaceDN w:val="0"/>
        <w:adjustRightInd w:val="0"/>
        <w:jc w:val="center"/>
        <w:outlineLvl w:val="0"/>
        <w:rPr>
          <w:rFonts w:eastAsia="Calibri" w:cs="Times New Roman"/>
          <w:b/>
          <w:bCs/>
          <w:i/>
          <w:szCs w:val="22"/>
          <w:lang w:val="es-MX" w:eastAsia="en-US"/>
        </w:rPr>
      </w:pPr>
      <w:r w:rsidRPr="00974726">
        <w:rPr>
          <w:rFonts w:eastAsia="Calibri" w:cs="Times New Roman"/>
          <w:iCs w:val="0"/>
          <w:noProof/>
          <w:szCs w:val="22"/>
          <w:lang w:val="es-MX" w:eastAsia="en-US"/>
        </w:rPr>
        <w:drawing>
          <wp:inline distT="0" distB="0" distL="0" distR="0" wp14:anchorId="5A0C6FB9" wp14:editId="2A26E260">
            <wp:extent cx="4953000" cy="11525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1152525"/>
                    </a:xfrm>
                    <a:prstGeom prst="rect">
                      <a:avLst/>
                    </a:prstGeom>
                    <a:noFill/>
                    <a:ln>
                      <a:noFill/>
                    </a:ln>
                  </pic:spPr>
                </pic:pic>
              </a:graphicData>
            </a:graphic>
          </wp:inline>
        </w:drawing>
      </w:r>
    </w:p>
    <w:p w14:paraId="67C90C11"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26E0E89B"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1D484286" w14:textId="77777777" w:rsidR="00974726" w:rsidRPr="00974726" w:rsidRDefault="00974726" w:rsidP="00974726">
      <w:pPr>
        <w:autoSpaceDE w:val="0"/>
        <w:autoSpaceDN w:val="0"/>
        <w:adjustRightInd w:val="0"/>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Bienes muebles</w:t>
      </w:r>
    </w:p>
    <w:p w14:paraId="782CDBB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6BF57E1A"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Este rubro del activo, refleja el valor de los bienes muebles que posee el Poder Judicial y que al 30 de junio del 2024, asciende a un monto de $ 237,969,429 pesos y representa el 29.5 %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y el desarrollo de las funciones de los entes públicos que lo conforman. </w:t>
      </w:r>
    </w:p>
    <w:p w14:paraId="43F39312"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25DFB78" w14:textId="77777777" w:rsidR="00974726" w:rsidRPr="00974726" w:rsidRDefault="00974726" w:rsidP="00974726">
      <w:pPr>
        <w:autoSpaceDE w:val="0"/>
        <w:autoSpaceDN w:val="0"/>
        <w:adjustRightInd w:val="0"/>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30C7525F" wp14:editId="69AFC3A7">
            <wp:extent cx="4953000" cy="17145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1714500"/>
                    </a:xfrm>
                    <a:prstGeom prst="rect">
                      <a:avLst/>
                    </a:prstGeom>
                    <a:noFill/>
                    <a:ln>
                      <a:noFill/>
                    </a:ln>
                  </pic:spPr>
                </pic:pic>
              </a:graphicData>
            </a:graphic>
          </wp:inline>
        </w:drawing>
      </w:r>
    </w:p>
    <w:p w14:paraId="1A8513F2" w14:textId="77777777" w:rsidR="00974726" w:rsidRPr="00974726" w:rsidRDefault="00974726" w:rsidP="00974726">
      <w:pPr>
        <w:jc w:val="both"/>
        <w:rPr>
          <w:rFonts w:eastAsia="Calibri" w:cs="Times New Roman"/>
          <w:b/>
          <w:bCs/>
          <w:i/>
          <w:iCs w:val="0"/>
          <w:szCs w:val="22"/>
          <w:lang w:val="es-MX" w:eastAsia="en-US"/>
        </w:rPr>
      </w:pPr>
    </w:p>
    <w:p w14:paraId="7E5AED5F" w14:textId="77777777" w:rsidR="00974726" w:rsidRPr="00974726" w:rsidRDefault="00974726" w:rsidP="00974726">
      <w:pPr>
        <w:jc w:val="both"/>
        <w:rPr>
          <w:rFonts w:eastAsia="Calibri" w:cs="Times New Roman"/>
          <w:b/>
          <w:bCs/>
          <w:i/>
          <w:iCs w:val="0"/>
          <w:szCs w:val="22"/>
          <w:lang w:val="es-MX" w:eastAsia="en-US"/>
        </w:rPr>
      </w:pPr>
    </w:p>
    <w:p w14:paraId="01515A24" w14:textId="77777777" w:rsidR="00974726" w:rsidRPr="00974726" w:rsidRDefault="00974726" w:rsidP="00974726">
      <w:pPr>
        <w:autoSpaceDE w:val="0"/>
        <w:autoSpaceDN w:val="0"/>
        <w:adjustRightInd w:val="0"/>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Activos intangibles</w:t>
      </w:r>
    </w:p>
    <w:p w14:paraId="28FBB7AC"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5BC21BD9"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Al 30 de junio de 2024, este rubro asciende </w:t>
      </w:r>
      <w:proofErr w:type="gramStart"/>
      <w:r w:rsidRPr="00974726">
        <w:rPr>
          <w:rFonts w:eastAsia="Calibri" w:cs="Times New Roman"/>
          <w:iCs w:val="0"/>
          <w:szCs w:val="22"/>
          <w:lang w:val="es-MX" w:eastAsia="en-US"/>
        </w:rPr>
        <w:t>a  $</w:t>
      </w:r>
      <w:proofErr w:type="gramEnd"/>
      <w:r w:rsidRPr="00974726">
        <w:rPr>
          <w:rFonts w:eastAsia="Calibri" w:cs="Times New Roman"/>
          <w:iCs w:val="0"/>
          <w:szCs w:val="22"/>
          <w:lang w:val="es-MX" w:eastAsia="en-US"/>
        </w:rPr>
        <w:t xml:space="preserve"> 21,117,501 pesos y se integra por el valor de todos los bienes intangibles como son: software y licencias, los cuales son necesarios para la operatividad y funcionamiento de las áreas administrativas de los entes públicos que integran al Poder Judicial. </w:t>
      </w:r>
    </w:p>
    <w:p w14:paraId="40B33B6C"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36FB697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Representa el 2.6 % del activo no circulante.</w:t>
      </w:r>
    </w:p>
    <w:p w14:paraId="6609BBCA"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E76321D" w14:textId="77777777" w:rsidR="00974726" w:rsidRPr="00974726" w:rsidRDefault="00974726" w:rsidP="00974726">
      <w:pPr>
        <w:autoSpaceDE w:val="0"/>
        <w:autoSpaceDN w:val="0"/>
        <w:adjustRightInd w:val="0"/>
        <w:jc w:val="center"/>
        <w:outlineLvl w:val="0"/>
        <w:rPr>
          <w:rFonts w:eastAsia="Calibri" w:cs="Times New Roman"/>
          <w:b/>
          <w:bCs/>
          <w:i/>
          <w:szCs w:val="22"/>
          <w:lang w:val="es-MX" w:eastAsia="en-US"/>
        </w:rPr>
      </w:pPr>
      <w:r w:rsidRPr="00974726">
        <w:rPr>
          <w:rFonts w:eastAsia="Calibri" w:cs="Times New Roman"/>
          <w:iCs w:val="0"/>
          <w:noProof/>
          <w:szCs w:val="22"/>
          <w:lang w:val="es-MX" w:eastAsia="en-US"/>
        </w:rPr>
        <w:drawing>
          <wp:inline distT="0" distB="0" distL="0" distR="0" wp14:anchorId="16F1BFE7" wp14:editId="535BB96A">
            <wp:extent cx="4953000" cy="11525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1152525"/>
                    </a:xfrm>
                    <a:prstGeom prst="rect">
                      <a:avLst/>
                    </a:prstGeom>
                    <a:noFill/>
                    <a:ln>
                      <a:noFill/>
                    </a:ln>
                  </pic:spPr>
                </pic:pic>
              </a:graphicData>
            </a:graphic>
          </wp:inline>
        </w:drawing>
      </w:r>
    </w:p>
    <w:p w14:paraId="376D546F" w14:textId="77777777" w:rsidR="00974726" w:rsidRPr="00974726" w:rsidRDefault="00974726" w:rsidP="00974726">
      <w:pPr>
        <w:autoSpaceDE w:val="0"/>
        <w:autoSpaceDN w:val="0"/>
        <w:adjustRightInd w:val="0"/>
        <w:jc w:val="both"/>
        <w:outlineLvl w:val="0"/>
        <w:rPr>
          <w:rFonts w:eastAsia="Calibri" w:cs="Times New Roman"/>
          <w:b/>
          <w:bCs/>
          <w:i/>
          <w:szCs w:val="22"/>
          <w:lang w:val="es-MX" w:eastAsia="en-US"/>
        </w:rPr>
      </w:pPr>
    </w:p>
    <w:p w14:paraId="784CEE41" w14:textId="77777777" w:rsidR="00974726" w:rsidRPr="00974726" w:rsidRDefault="00974726" w:rsidP="00974726">
      <w:pPr>
        <w:jc w:val="both"/>
        <w:rPr>
          <w:rFonts w:eastAsia="Calibri" w:cs="Times New Roman"/>
          <w:b/>
          <w:bCs/>
          <w:i/>
          <w:iCs w:val="0"/>
          <w:szCs w:val="22"/>
          <w:u w:val="single"/>
          <w:lang w:val="es-MX" w:eastAsia="en-US"/>
        </w:rPr>
      </w:pPr>
    </w:p>
    <w:p w14:paraId="40354B50" w14:textId="77777777" w:rsidR="00974726" w:rsidRDefault="00974726">
      <w:pPr>
        <w:rPr>
          <w:rFonts w:eastAsia="Calibri" w:cs="Times New Roman"/>
          <w:b/>
          <w:bCs/>
          <w:i/>
          <w:iCs w:val="0"/>
          <w:szCs w:val="22"/>
          <w:u w:val="single"/>
          <w:lang w:val="es-MX" w:eastAsia="en-US"/>
        </w:rPr>
      </w:pPr>
      <w:r>
        <w:rPr>
          <w:rFonts w:eastAsia="Calibri" w:cs="Times New Roman"/>
          <w:b/>
          <w:bCs/>
          <w:i/>
          <w:iCs w:val="0"/>
          <w:szCs w:val="22"/>
          <w:u w:val="single"/>
          <w:lang w:val="es-MX" w:eastAsia="en-US"/>
        </w:rPr>
        <w:br w:type="page"/>
      </w:r>
    </w:p>
    <w:p w14:paraId="3A5D1BD7" w14:textId="33723A5A" w:rsidR="00974726" w:rsidRPr="00974726" w:rsidRDefault="00974726" w:rsidP="00974726">
      <w:pPr>
        <w:autoSpaceDE w:val="0"/>
        <w:autoSpaceDN w:val="0"/>
        <w:adjustRightInd w:val="0"/>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lastRenderedPageBreak/>
        <w:t>Activos diferidos</w:t>
      </w:r>
    </w:p>
    <w:p w14:paraId="2101D40F" w14:textId="77777777" w:rsidR="00974726" w:rsidRPr="00974726" w:rsidRDefault="00974726" w:rsidP="00974726">
      <w:pPr>
        <w:jc w:val="both"/>
        <w:outlineLvl w:val="0"/>
        <w:rPr>
          <w:rFonts w:eastAsia="Calibri" w:cs="Times New Roman"/>
          <w:b/>
          <w:bCs/>
          <w:iCs w:val="0"/>
          <w:szCs w:val="22"/>
          <w:lang w:val="es-MX" w:eastAsia="en-US"/>
        </w:rPr>
      </w:pPr>
    </w:p>
    <w:p w14:paraId="5E310BD4"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El saldo de este rubro asciende a $ 24,100,821 pesos y está integrado por las operaciones financieras enfocadas en servicios personales, gasto de operación y de inversión pendientes de regularizar, de los cuales de los cuales $ 15,420,865 pesos corresponden a ejercicios anteriores y $ 8,679,956 pesos del periodo que se informa.</w:t>
      </w:r>
    </w:p>
    <w:p w14:paraId="1A9FAFB1" w14:textId="77777777" w:rsidR="00974726" w:rsidRPr="00974726" w:rsidRDefault="00974726" w:rsidP="00974726">
      <w:pPr>
        <w:jc w:val="both"/>
        <w:rPr>
          <w:rFonts w:eastAsia="Calibri" w:cs="Times New Roman"/>
          <w:iCs w:val="0"/>
          <w:szCs w:val="22"/>
          <w:lang w:val="es-MX" w:eastAsia="en-US"/>
        </w:rPr>
      </w:pPr>
    </w:p>
    <w:p w14:paraId="278D9EC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Al 30 de junio de 2024, este rubro representa el 3 % respecto al total del activo no circulante.</w:t>
      </w:r>
    </w:p>
    <w:p w14:paraId="7F11F935" w14:textId="77777777" w:rsidR="00974726" w:rsidRPr="00974726" w:rsidRDefault="00974726" w:rsidP="00974726">
      <w:pPr>
        <w:tabs>
          <w:tab w:val="left" w:pos="5774"/>
          <w:tab w:val="left" w:pos="6439"/>
        </w:tabs>
        <w:autoSpaceDE w:val="0"/>
        <w:autoSpaceDN w:val="0"/>
        <w:adjustRightInd w:val="0"/>
        <w:jc w:val="both"/>
        <w:outlineLvl w:val="0"/>
        <w:rPr>
          <w:rFonts w:eastAsia="Calibri" w:cs="Times New Roman"/>
          <w:b/>
          <w:bCs/>
          <w:i/>
          <w:szCs w:val="22"/>
          <w:lang w:val="es-MX" w:eastAsia="en-US"/>
        </w:rPr>
      </w:pPr>
    </w:p>
    <w:p w14:paraId="6F92652E" w14:textId="77777777" w:rsidR="00974726" w:rsidRPr="00974726" w:rsidRDefault="00974726" w:rsidP="00974726">
      <w:pPr>
        <w:autoSpaceDE w:val="0"/>
        <w:autoSpaceDN w:val="0"/>
        <w:adjustRightInd w:val="0"/>
        <w:jc w:val="center"/>
        <w:outlineLvl w:val="0"/>
        <w:rPr>
          <w:rFonts w:eastAsia="Calibri" w:cs="Times New Roman"/>
          <w:b/>
          <w:bCs/>
          <w:i/>
          <w:szCs w:val="22"/>
          <w:lang w:val="es-MX" w:eastAsia="en-US"/>
        </w:rPr>
      </w:pPr>
      <w:r w:rsidRPr="00974726">
        <w:rPr>
          <w:rFonts w:eastAsia="Calibri" w:cs="Times New Roman"/>
          <w:iCs w:val="0"/>
          <w:noProof/>
          <w:szCs w:val="22"/>
          <w:lang w:val="es-MX" w:eastAsia="en-US"/>
        </w:rPr>
        <w:drawing>
          <wp:inline distT="0" distB="0" distL="0" distR="0" wp14:anchorId="00E4EFB4" wp14:editId="69CC77D9">
            <wp:extent cx="4953000" cy="9620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5E408A86"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6D0F1769" w14:textId="77777777" w:rsidR="00974726" w:rsidRPr="00974726" w:rsidRDefault="00974726" w:rsidP="00974726">
      <w:pPr>
        <w:autoSpaceDE w:val="0"/>
        <w:autoSpaceDN w:val="0"/>
        <w:adjustRightInd w:val="0"/>
        <w:jc w:val="both"/>
        <w:outlineLvl w:val="0"/>
        <w:rPr>
          <w:rFonts w:eastAsia="Calibri" w:cs="Times New Roman"/>
          <w:b/>
          <w:bCs/>
          <w:i/>
          <w:iCs w:val="0"/>
          <w:szCs w:val="22"/>
          <w:lang w:val="es-MX" w:eastAsia="en-US"/>
        </w:rPr>
      </w:pPr>
    </w:p>
    <w:p w14:paraId="77020416" w14:textId="77777777" w:rsidR="00974726" w:rsidRPr="00974726" w:rsidRDefault="00974726" w:rsidP="00974726">
      <w:pPr>
        <w:autoSpaceDE w:val="0"/>
        <w:autoSpaceDN w:val="0"/>
        <w:adjustRightInd w:val="0"/>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Otros activos no circulantes</w:t>
      </w:r>
    </w:p>
    <w:p w14:paraId="2363C464" w14:textId="77777777" w:rsidR="00974726" w:rsidRPr="00974726" w:rsidRDefault="00974726" w:rsidP="00974726">
      <w:pPr>
        <w:jc w:val="both"/>
        <w:outlineLvl w:val="0"/>
        <w:rPr>
          <w:rFonts w:eastAsia="Calibri" w:cs="Times New Roman"/>
          <w:b/>
          <w:bCs/>
          <w:iCs w:val="0"/>
          <w:szCs w:val="22"/>
          <w:lang w:val="es-MX" w:eastAsia="en-US"/>
        </w:rPr>
      </w:pPr>
    </w:p>
    <w:p w14:paraId="457208AB"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Los otros activos no circulantes, reflejan el valor de los bienes inmuebles del Poder Judicial, que se encuentran bajo contrato de comodato, estos bienes se otorgan entre entes públicos principalmente los Juzgados Civiles y Mixtos.</w:t>
      </w:r>
    </w:p>
    <w:p w14:paraId="42C367E1" w14:textId="77777777" w:rsidR="00974726" w:rsidRPr="00974726" w:rsidRDefault="00974726" w:rsidP="00974726">
      <w:pPr>
        <w:jc w:val="both"/>
        <w:rPr>
          <w:rFonts w:eastAsia="Calibri" w:cs="Times New Roman"/>
          <w:iCs w:val="0"/>
          <w:szCs w:val="22"/>
          <w:lang w:val="es-MX" w:eastAsia="en-US"/>
        </w:rPr>
      </w:pPr>
    </w:p>
    <w:p w14:paraId="5D7501D2"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Al 30 de junio de 2024, el saldo de este rubro asciende a $ 8,016,181 pesos y representa el 1 % respecto del total del activo no circulante.</w:t>
      </w:r>
    </w:p>
    <w:p w14:paraId="6CD3C262" w14:textId="77777777" w:rsidR="00974726" w:rsidRPr="00974726" w:rsidRDefault="00974726" w:rsidP="00974726">
      <w:pPr>
        <w:jc w:val="both"/>
        <w:rPr>
          <w:rFonts w:eastAsia="Calibri" w:cs="Times New Roman"/>
          <w:iCs w:val="0"/>
          <w:szCs w:val="22"/>
          <w:lang w:val="es-MX" w:eastAsia="en-US"/>
        </w:rPr>
      </w:pPr>
    </w:p>
    <w:p w14:paraId="12D5156D" w14:textId="77777777" w:rsidR="00974726" w:rsidRPr="00974726" w:rsidRDefault="00974726" w:rsidP="00974726">
      <w:pPr>
        <w:tabs>
          <w:tab w:val="left" w:pos="4592"/>
          <w:tab w:val="center" w:pos="5269"/>
        </w:tabs>
        <w:autoSpaceDE w:val="0"/>
        <w:autoSpaceDN w:val="0"/>
        <w:adjustRightInd w:val="0"/>
        <w:jc w:val="center"/>
        <w:rPr>
          <w:rFonts w:eastAsia="Calibri" w:cs="Times New Roman"/>
          <w:b/>
          <w:bCs/>
          <w:iCs w:val="0"/>
          <w:szCs w:val="22"/>
          <w:lang w:val="es-MX" w:eastAsia="en-US"/>
        </w:rPr>
      </w:pPr>
      <w:r w:rsidRPr="00974726">
        <w:rPr>
          <w:rFonts w:eastAsia="Calibri" w:cs="Times New Roman"/>
          <w:iCs w:val="0"/>
          <w:noProof/>
          <w:szCs w:val="22"/>
          <w:lang w:val="es-MX" w:eastAsia="en-US"/>
        </w:rPr>
        <w:drawing>
          <wp:inline distT="0" distB="0" distL="0" distR="0" wp14:anchorId="641EA728" wp14:editId="06FFA158">
            <wp:extent cx="4953000" cy="9620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13A3B8C3" w14:textId="77777777" w:rsidR="00974726" w:rsidRPr="00974726" w:rsidRDefault="00974726" w:rsidP="00974726">
      <w:pPr>
        <w:tabs>
          <w:tab w:val="left" w:pos="4592"/>
          <w:tab w:val="center" w:pos="5269"/>
        </w:tabs>
        <w:autoSpaceDE w:val="0"/>
        <w:autoSpaceDN w:val="0"/>
        <w:adjustRightInd w:val="0"/>
        <w:jc w:val="both"/>
        <w:rPr>
          <w:rFonts w:eastAsia="Calibri" w:cs="Times New Roman"/>
          <w:b/>
          <w:bCs/>
          <w:iCs w:val="0"/>
          <w:szCs w:val="22"/>
          <w:lang w:val="es-MX" w:eastAsia="en-US"/>
        </w:rPr>
      </w:pPr>
    </w:p>
    <w:p w14:paraId="0AF3D33B" w14:textId="77777777" w:rsidR="00974726" w:rsidRPr="00974726" w:rsidRDefault="00974726" w:rsidP="00974726">
      <w:pPr>
        <w:tabs>
          <w:tab w:val="left" w:pos="4592"/>
          <w:tab w:val="center" w:pos="5269"/>
        </w:tabs>
        <w:autoSpaceDE w:val="0"/>
        <w:autoSpaceDN w:val="0"/>
        <w:adjustRightInd w:val="0"/>
        <w:jc w:val="both"/>
        <w:rPr>
          <w:rFonts w:eastAsia="Calibri" w:cs="Times New Roman"/>
          <w:b/>
          <w:bCs/>
          <w:iCs w:val="0"/>
          <w:szCs w:val="22"/>
          <w:lang w:val="es-MX" w:eastAsia="en-US"/>
        </w:rPr>
      </w:pPr>
    </w:p>
    <w:p w14:paraId="46FB2F5D" w14:textId="77777777" w:rsidR="00974726" w:rsidRPr="00974726" w:rsidRDefault="00974726" w:rsidP="00974726">
      <w:pPr>
        <w:jc w:val="both"/>
        <w:rPr>
          <w:rFonts w:eastAsia="Calibri"/>
          <w:b/>
          <w:bCs/>
          <w:iCs w:val="0"/>
        </w:rPr>
      </w:pPr>
      <w:bookmarkStart w:id="4" w:name="_Hlk125467269"/>
      <w:r w:rsidRPr="00974726">
        <w:rPr>
          <w:rFonts w:eastAsia="Calibri"/>
          <w:b/>
          <w:bCs/>
          <w:iCs w:val="0"/>
        </w:rPr>
        <w:t>Pasivo</w:t>
      </w:r>
    </w:p>
    <w:p w14:paraId="2D54CDB7" w14:textId="77777777" w:rsidR="00974726" w:rsidRPr="00974726" w:rsidRDefault="00974726" w:rsidP="00974726">
      <w:pPr>
        <w:autoSpaceDE w:val="0"/>
        <w:autoSpaceDN w:val="0"/>
        <w:adjustRightInd w:val="0"/>
        <w:jc w:val="both"/>
        <w:rPr>
          <w:rFonts w:eastAsia="Calibri"/>
          <w:b/>
          <w:bCs/>
          <w:iCs w:val="0"/>
          <w:lang w:val="es-MX" w:eastAsia="en-US"/>
        </w:rPr>
      </w:pPr>
    </w:p>
    <w:bookmarkEnd w:id="4"/>
    <w:p w14:paraId="2964B189"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Es el conjunto de cuentas que permite el registro de las obligaciones contraídas para el desarrollo de sus funciones y la prestación de los servicios públicos. Al 30 de junio de 2024,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16FB9642"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4CC03260" w14:textId="77777777" w:rsidR="00974726" w:rsidRPr="00974726" w:rsidRDefault="00974726" w:rsidP="00974726">
      <w:pPr>
        <w:jc w:val="both"/>
        <w:rPr>
          <w:rFonts w:eastAsia="Calibri"/>
          <w:b/>
          <w:bCs/>
          <w:iCs w:val="0"/>
        </w:rPr>
      </w:pPr>
      <w:r w:rsidRPr="00974726">
        <w:rPr>
          <w:rFonts w:eastAsia="Calibri"/>
          <w:b/>
          <w:bCs/>
          <w:iCs w:val="0"/>
        </w:rPr>
        <w:t>Circulante</w:t>
      </w:r>
    </w:p>
    <w:p w14:paraId="045962E6" w14:textId="77777777" w:rsidR="00974726" w:rsidRPr="00974726" w:rsidRDefault="00974726" w:rsidP="00974726">
      <w:pPr>
        <w:autoSpaceDE w:val="0"/>
        <w:autoSpaceDN w:val="0"/>
        <w:adjustRightInd w:val="0"/>
        <w:jc w:val="both"/>
        <w:rPr>
          <w:rFonts w:eastAsia="Calibri"/>
          <w:b/>
          <w:bCs/>
          <w:iCs w:val="0"/>
          <w:lang w:val="es-MX" w:eastAsia="en-US"/>
        </w:rPr>
      </w:pPr>
    </w:p>
    <w:p w14:paraId="7433B2BF" w14:textId="77777777" w:rsidR="00974726" w:rsidRPr="00974726" w:rsidRDefault="00974726" w:rsidP="00974726">
      <w:pPr>
        <w:autoSpaceDE w:val="0"/>
        <w:autoSpaceDN w:val="0"/>
        <w:adjustRightInd w:val="0"/>
        <w:jc w:val="center"/>
        <w:rPr>
          <w:rFonts w:eastAsia="Calibri" w:cs="Times New Roman"/>
          <w:b/>
          <w:bCs/>
          <w:iCs w:val="0"/>
          <w:szCs w:val="22"/>
          <w:lang w:val="es-MX" w:eastAsia="en-US"/>
        </w:rPr>
      </w:pPr>
      <w:r w:rsidRPr="00974726">
        <w:rPr>
          <w:rFonts w:eastAsia="Calibri" w:cs="Times New Roman"/>
          <w:b/>
          <w:bCs/>
          <w:iCs w:val="0"/>
          <w:noProof/>
          <w:szCs w:val="22"/>
          <w:lang w:val="es-MX" w:eastAsia="en-US"/>
        </w:rPr>
        <w:drawing>
          <wp:inline distT="0" distB="0" distL="0" distR="0" wp14:anchorId="17DD7175" wp14:editId="030D363D">
            <wp:extent cx="5220000" cy="2186731"/>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0000" cy="2186731"/>
                    </a:xfrm>
                    <a:prstGeom prst="rect">
                      <a:avLst/>
                    </a:prstGeom>
                    <a:noFill/>
                  </pic:spPr>
                </pic:pic>
              </a:graphicData>
            </a:graphic>
          </wp:inline>
        </w:drawing>
      </w:r>
    </w:p>
    <w:p w14:paraId="2FC8B36C" w14:textId="77777777" w:rsidR="001C1E18" w:rsidRDefault="001C1E18" w:rsidP="00974726">
      <w:pPr>
        <w:jc w:val="both"/>
        <w:outlineLvl w:val="0"/>
        <w:rPr>
          <w:rFonts w:eastAsia="Calibri" w:cs="Times New Roman"/>
          <w:b/>
          <w:bCs/>
          <w:i/>
          <w:iCs w:val="0"/>
          <w:szCs w:val="22"/>
          <w:u w:val="single"/>
          <w:lang w:val="es-MX" w:eastAsia="en-US"/>
        </w:rPr>
      </w:pPr>
    </w:p>
    <w:p w14:paraId="2DFFA319" w14:textId="4E1C53D3"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lastRenderedPageBreak/>
        <w:t>Cuentas por pagar a corto plazo</w:t>
      </w:r>
    </w:p>
    <w:p w14:paraId="4320CFD9" w14:textId="77777777" w:rsidR="00974726" w:rsidRPr="00974726" w:rsidRDefault="00974726" w:rsidP="00974726">
      <w:pPr>
        <w:jc w:val="both"/>
        <w:outlineLvl w:val="0"/>
        <w:rPr>
          <w:rFonts w:eastAsia="Calibri" w:cs="Times New Roman"/>
          <w:b/>
          <w:bCs/>
          <w:i/>
          <w:iCs w:val="0"/>
          <w:szCs w:val="22"/>
          <w:lang w:val="es-MX" w:eastAsia="en-US"/>
        </w:rPr>
      </w:pPr>
    </w:p>
    <w:p w14:paraId="5CD28289" w14:textId="3ABAB04C" w:rsid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 xml:space="preserve">Al 30 de junio de 2024, esta cuenta se integra por prestaciones salariales como: sueldos y salarios, prima quinquenal, prima vacacional y dominical, incentivos, estímulos, seguro de vida, previsión social múltiple  y aguinaldo devengado no pagado; así como, por las aportaciones patronales al IMSS, </w:t>
      </w:r>
      <w:r w:rsidR="001C1E18">
        <w:rPr>
          <w:rFonts w:eastAsia="Calibri" w:cs="Times New Roman"/>
          <w:iCs w:val="0"/>
          <w:szCs w:val="22"/>
          <w:lang w:val="es-MX" w:eastAsia="en-US"/>
        </w:rPr>
        <w:t>Infonavit</w:t>
      </w:r>
      <w:r w:rsidRPr="00974726">
        <w:rPr>
          <w:rFonts w:eastAsia="Calibri" w:cs="Times New Roman"/>
          <w:iCs w:val="0"/>
          <w:szCs w:val="22"/>
          <w:lang w:val="es-MX" w:eastAsia="en-US"/>
        </w:rPr>
        <w:t>, ISSTECH y el 2 % del Impuesto Sobre Nóminas; además, se incluyen por los compromisos contraídos por la adquisición de bienes de consumo e inventariables, y por la contratación de servicios con proveedores.</w:t>
      </w:r>
    </w:p>
    <w:p w14:paraId="270A383D" w14:textId="77777777" w:rsidR="001C1E18" w:rsidRPr="00974726" w:rsidRDefault="001C1E18" w:rsidP="00974726">
      <w:pPr>
        <w:jc w:val="both"/>
        <w:rPr>
          <w:rFonts w:eastAsia="Calibri" w:cs="Times New Roman"/>
          <w:iCs w:val="0"/>
          <w:szCs w:val="22"/>
          <w:lang w:val="es-MX" w:eastAsia="en-US"/>
        </w:rPr>
      </w:pPr>
    </w:p>
    <w:p w14:paraId="12E69F48"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Se incluyen dentro de este rubro los subsidios para otras medidas económicas, para cubrir adeudos de servicios personales.</w:t>
      </w:r>
    </w:p>
    <w:p w14:paraId="34795B02" w14:textId="77777777" w:rsidR="00974726" w:rsidRPr="00974726" w:rsidRDefault="00974726" w:rsidP="00974726">
      <w:pPr>
        <w:jc w:val="both"/>
        <w:rPr>
          <w:rFonts w:eastAsia="Calibri" w:cs="Times New Roman"/>
          <w:iCs w:val="0"/>
          <w:szCs w:val="22"/>
          <w:lang w:val="es-MX" w:eastAsia="en-US"/>
        </w:rPr>
      </w:pPr>
    </w:p>
    <w:p w14:paraId="2EA52B01" w14:textId="5CA0D72D"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 xml:space="preserve">También se registran las retenciones por servicios personales: ISSS, cuota IMSS, crédito </w:t>
      </w:r>
      <w:r w:rsidR="001C1E18">
        <w:rPr>
          <w:rFonts w:eastAsia="Calibri" w:cs="Times New Roman"/>
          <w:iCs w:val="0"/>
          <w:szCs w:val="22"/>
          <w:lang w:val="es-MX" w:eastAsia="en-US"/>
        </w:rPr>
        <w:t>Infonavit</w:t>
      </w:r>
      <w:r w:rsidRPr="00974726">
        <w:rPr>
          <w:rFonts w:eastAsia="Calibri" w:cs="Times New Roman"/>
          <w:iCs w:val="0"/>
          <w:szCs w:val="22"/>
          <w:lang w:val="es-MX" w:eastAsia="en-US"/>
        </w:rPr>
        <w:t>, recuperación de préstamos personales, aportaciones al fondo de ahorro, retenciones y contribuciones a favor de terceros, como: el 2 % del Impuesto Sobre Nóminas de prestadores de servicios, 10 % del ISR por arrendamiento de inmuebles, entre otros.</w:t>
      </w:r>
    </w:p>
    <w:p w14:paraId="116F7F96" w14:textId="77777777" w:rsidR="00974726" w:rsidRPr="00974726" w:rsidRDefault="00974726" w:rsidP="00974726">
      <w:pPr>
        <w:jc w:val="both"/>
        <w:rPr>
          <w:rFonts w:eastAsia="Calibri" w:cs="Times New Roman"/>
          <w:iCs w:val="0"/>
          <w:szCs w:val="22"/>
          <w:lang w:val="es-MX" w:eastAsia="en-US"/>
        </w:rPr>
      </w:pPr>
    </w:p>
    <w:p w14:paraId="7D7E5622"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 xml:space="preserve">Asimismo, dentro de este rubro se encuentran los rendimientos bancarios, los préstamos del fondo auxiliar y los reintegros de recursos. </w:t>
      </w:r>
    </w:p>
    <w:p w14:paraId="72BB62D7" w14:textId="77777777" w:rsidR="00974726" w:rsidRPr="00974726" w:rsidRDefault="00974726" w:rsidP="00974726">
      <w:pPr>
        <w:jc w:val="both"/>
        <w:rPr>
          <w:rFonts w:eastAsia="Calibri" w:cs="Times New Roman"/>
          <w:iCs w:val="0"/>
          <w:szCs w:val="22"/>
          <w:lang w:val="es-MX" w:eastAsia="en-US"/>
        </w:rPr>
      </w:pPr>
    </w:p>
    <w:p w14:paraId="19CBC220"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Este rubro asciende a $ 39,139,111 pesos y representa el 81.2 % respecto al pasivo circulante.</w:t>
      </w:r>
    </w:p>
    <w:p w14:paraId="38E30E62" w14:textId="77777777" w:rsidR="00974726" w:rsidRPr="00974726" w:rsidRDefault="00974726" w:rsidP="00974726">
      <w:pPr>
        <w:jc w:val="both"/>
        <w:rPr>
          <w:rFonts w:eastAsia="Calibri" w:cs="Times New Roman"/>
          <w:iCs w:val="0"/>
          <w:szCs w:val="22"/>
          <w:lang w:val="es-MX" w:eastAsia="en-US"/>
        </w:rPr>
      </w:pPr>
    </w:p>
    <w:p w14:paraId="79AB8763" w14:textId="77777777" w:rsidR="00974726" w:rsidRPr="00974726" w:rsidRDefault="00974726" w:rsidP="00974726">
      <w:pPr>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7A57558F" wp14:editId="037A4BDC">
            <wp:extent cx="4953000" cy="19907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1990725"/>
                    </a:xfrm>
                    <a:prstGeom prst="rect">
                      <a:avLst/>
                    </a:prstGeom>
                    <a:noFill/>
                    <a:ln>
                      <a:noFill/>
                    </a:ln>
                  </pic:spPr>
                </pic:pic>
              </a:graphicData>
            </a:graphic>
          </wp:inline>
        </w:drawing>
      </w:r>
    </w:p>
    <w:p w14:paraId="4475CD3C" w14:textId="77777777" w:rsidR="00974726" w:rsidRPr="00974726" w:rsidRDefault="00974726" w:rsidP="00974726">
      <w:pPr>
        <w:jc w:val="center"/>
        <w:rPr>
          <w:rFonts w:eastAsia="Calibri" w:cs="Times New Roman"/>
          <w:iCs w:val="0"/>
          <w:szCs w:val="22"/>
          <w:lang w:val="es-MX" w:eastAsia="en-US"/>
        </w:rPr>
      </w:pPr>
    </w:p>
    <w:p w14:paraId="764F62C4" w14:textId="77777777" w:rsidR="00974726" w:rsidRPr="00974726" w:rsidRDefault="00974726" w:rsidP="00974726">
      <w:pPr>
        <w:jc w:val="center"/>
        <w:rPr>
          <w:rFonts w:eastAsia="Calibri" w:cs="Times New Roman"/>
          <w:iCs w:val="0"/>
          <w:szCs w:val="22"/>
          <w:lang w:val="es-MX" w:eastAsia="en-US"/>
        </w:rPr>
      </w:pPr>
    </w:p>
    <w:p w14:paraId="5E8CEF97"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 xml:space="preserve">Fondos y bienes de terceros en garantía y/o administración a corto plazo </w:t>
      </w:r>
    </w:p>
    <w:p w14:paraId="5FD04D65" w14:textId="77777777" w:rsidR="00974726" w:rsidRPr="00974726" w:rsidRDefault="00974726" w:rsidP="00974726">
      <w:pPr>
        <w:jc w:val="both"/>
        <w:outlineLvl w:val="0"/>
        <w:rPr>
          <w:rFonts w:eastAsia="Calibri" w:cs="Times New Roman"/>
          <w:b/>
          <w:bCs/>
          <w:i/>
          <w:iCs w:val="0"/>
          <w:szCs w:val="22"/>
          <w:u w:val="single"/>
          <w:lang w:val="es-MX" w:eastAsia="en-US"/>
        </w:rPr>
      </w:pPr>
    </w:p>
    <w:p w14:paraId="5535F7DA" w14:textId="2CE67D81" w:rsidR="00974726" w:rsidRPr="00974726" w:rsidRDefault="00974726" w:rsidP="00974726">
      <w:pPr>
        <w:jc w:val="both"/>
        <w:outlineLvl w:val="0"/>
        <w:rPr>
          <w:rFonts w:eastAsia="Calibri" w:cs="Times New Roman"/>
          <w:bCs/>
          <w:iCs w:val="0"/>
          <w:szCs w:val="22"/>
          <w:lang w:val="es-MX" w:eastAsia="en-US"/>
        </w:rPr>
      </w:pPr>
      <w:r w:rsidRPr="00974726">
        <w:rPr>
          <w:rFonts w:eastAsia="Calibri" w:cs="Times New Roman"/>
          <w:bCs/>
          <w:iCs w:val="0"/>
          <w:szCs w:val="22"/>
          <w:lang w:val="es-MX" w:eastAsia="en-US"/>
        </w:rPr>
        <w:t>Al 30 de junio de 2024, este rubro presenta un saldo de $ 2,518,104 pesos y se integra por los depósitos en garantía derivado de juicios contenciosos, así como otras obligaciones con recursos ajenos.</w:t>
      </w:r>
    </w:p>
    <w:p w14:paraId="12725012" w14:textId="77777777" w:rsidR="00974726" w:rsidRPr="00974726" w:rsidRDefault="00974726" w:rsidP="00974726">
      <w:pPr>
        <w:jc w:val="both"/>
        <w:outlineLvl w:val="0"/>
        <w:rPr>
          <w:rFonts w:eastAsia="Calibri" w:cs="Times New Roman"/>
          <w:bCs/>
          <w:iCs w:val="0"/>
          <w:szCs w:val="22"/>
          <w:lang w:val="es-MX" w:eastAsia="en-US"/>
        </w:rPr>
      </w:pPr>
    </w:p>
    <w:p w14:paraId="46768F44" w14:textId="77777777" w:rsidR="00974726" w:rsidRPr="00974726" w:rsidRDefault="00974726" w:rsidP="00974726">
      <w:pPr>
        <w:jc w:val="both"/>
        <w:outlineLvl w:val="0"/>
        <w:rPr>
          <w:rFonts w:eastAsia="Calibri" w:cs="Times New Roman"/>
          <w:bCs/>
          <w:iCs w:val="0"/>
          <w:szCs w:val="22"/>
          <w:lang w:val="es-MX" w:eastAsia="en-US"/>
        </w:rPr>
      </w:pPr>
      <w:r w:rsidRPr="00974726">
        <w:rPr>
          <w:rFonts w:eastAsia="Calibri" w:cs="Times New Roman"/>
          <w:bCs/>
          <w:iCs w:val="0"/>
          <w:szCs w:val="22"/>
          <w:lang w:val="es-MX" w:eastAsia="en-US"/>
        </w:rPr>
        <w:t>Este rubro representa el 5.2 % respecto al total del pasivo circulante.</w:t>
      </w:r>
    </w:p>
    <w:p w14:paraId="4D62FD8B" w14:textId="77777777" w:rsidR="00974726" w:rsidRPr="00974726" w:rsidRDefault="00974726" w:rsidP="00974726">
      <w:pPr>
        <w:jc w:val="both"/>
        <w:outlineLvl w:val="0"/>
        <w:rPr>
          <w:rFonts w:eastAsia="Calibri" w:cs="Times New Roman"/>
          <w:iCs w:val="0"/>
          <w:szCs w:val="22"/>
          <w:lang w:val="es-MX" w:eastAsia="en-US"/>
        </w:rPr>
      </w:pPr>
    </w:p>
    <w:p w14:paraId="69A58F2A" w14:textId="77777777" w:rsidR="00974726" w:rsidRPr="00974726" w:rsidRDefault="00974726" w:rsidP="00974726">
      <w:pPr>
        <w:jc w:val="center"/>
        <w:rPr>
          <w:rFonts w:eastAsia="Calibri" w:cs="Times New Roman"/>
          <w:b/>
          <w:i/>
          <w:iCs w:val="0"/>
          <w:szCs w:val="22"/>
          <w:lang w:val="es-MX" w:eastAsia="en-US"/>
        </w:rPr>
      </w:pPr>
      <w:r w:rsidRPr="00974726">
        <w:rPr>
          <w:rFonts w:eastAsia="Calibri" w:cs="Times New Roman"/>
          <w:iCs w:val="0"/>
          <w:noProof/>
          <w:szCs w:val="22"/>
          <w:lang w:val="es-MX" w:eastAsia="en-US"/>
        </w:rPr>
        <w:drawing>
          <wp:inline distT="0" distB="0" distL="0" distR="0" wp14:anchorId="05BCE29C" wp14:editId="3A4E2A2D">
            <wp:extent cx="4953000" cy="109537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1095375"/>
                    </a:xfrm>
                    <a:prstGeom prst="rect">
                      <a:avLst/>
                    </a:prstGeom>
                    <a:noFill/>
                    <a:ln>
                      <a:noFill/>
                    </a:ln>
                  </pic:spPr>
                </pic:pic>
              </a:graphicData>
            </a:graphic>
          </wp:inline>
        </w:drawing>
      </w:r>
    </w:p>
    <w:p w14:paraId="0F723E04" w14:textId="77777777" w:rsidR="00974726" w:rsidRPr="00974726" w:rsidRDefault="00974726" w:rsidP="00974726">
      <w:pPr>
        <w:jc w:val="both"/>
        <w:outlineLvl w:val="0"/>
        <w:rPr>
          <w:rFonts w:eastAsia="Calibri" w:cs="Times New Roman"/>
          <w:b/>
          <w:bCs/>
          <w:i/>
          <w:iCs w:val="0"/>
          <w:szCs w:val="22"/>
          <w:u w:val="single"/>
          <w:lang w:val="es-MX" w:eastAsia="en-US"/>
        </w:rPr>
      </w:pPr>
    </w:p>
    <w:p w14:paraId="2CC1C751" w14:textId="77777777" w:rsidR="00974726" w:rsidRPr="00974726" w:rsidRDefault="00974726" w:rsidP="00974726">
      <w:pPr>
        <w:jc w:val="both"/>
        <w:outlineLvl w:val="0"/>
        <w:rPr>
          <w:rFonts w:eastAsia="Calibri" w:cs="Times New Roman"/>
          <w:b/>
          <w:bCs/>
          <w:i/>
          <w:iCs w:val="0"/>
          <w:szCs w:val="22"/>
          <w:u w:val="single"/>
          <w:lang w:val="es-MX" w:eastAsia="en-US"/>
        </w:rPr>
      </w:pPr>
    </w:p>
    <w:p w14:paraId="21083A2E"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 xml:space="preserve">Provisiones a corto plazo </w:t>
      </w:r>
    </w:p>
    <w:p w14:paraId="53ACC2B0" w14:textId="77777777" w:rsidR="00974726" w:rsidRPr="00974726" w:rsidRDefault="00974726" w:rsidP="00974726">
      <w:pPr>
        <w:jc w:val="both"/>
        <w:outlineLvl w:val="0"/>
        <w:rPr>
          <w:rFonts w:eastAsia="Calibri" w:cs="Times New Roman"/>
          <w:iCs w:val="0"/>
          <w:szCs w:val="22"/>
          <w:lang w:val="es-MX" w:eastAsia="en-US"/>
        </w:rPr>
      </w:pPr>
    </w:p>
    <w:p w14:paraId="25B5BAD2"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Este rubro representa la provisión para demandas y juicios a corto plazo, para hacer frente a casos fortuitos, que resulten de la operatividad de los entes públicos que conforman el Poder Judicial. </w:t>
      </w:r>
    </w:p>
    <w:p w14:paraId="47CCDECF" w14:textId="77777777" w:rsidR="00974726" w:rsidRPr="00974726" w:rsidRDefault="00974726" w:rsidP="00974726">
      <w:pPr>
        <w:jc w:val="both"/>
        <w:outlineLvl w:val="0"/>
        <w:rPr>
          <w:rFonts w:eastAsia="Calibri" w:cs="Times New Roman"/>
          <w:iCs w:val="0"/>
          <w:szCs w:val="22"/>
          <w:lang w:val="es-MX" w:eastAsia="en-US"/>
        </w:rPr>
      </w:pPr>
    </w:p>
    <w:p w14:paraId="198C80D8"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A la fecha que se informa este rubro asciende a $ 6,506,981 pesos, y representa el 13.5 % respecto al total del pasivo circulante.</w:t>
      </w:r>
    </w:p>
    <w:p w14:paraId="787039D8" w14:textId="77777777" w:rsidR="00974726" w:rsidRPr="00974726" w:rsidRDefault="00974726" w:rsidP="00974726">
      <w:pPr>
        <w:jc w:val="center"/>
        <w:rPr>
          <w:rFonts w:eastAsia="Calibri" w:cs="Times New Roman"/>
          <w:b/>
          <w:i/>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63B4E054" wp14:editId="2D0EEA82">
            <wp:extent cx="4953000" cy="9525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inline>
        </w:drawing>
      </w:r>
    </w:p>
    <w:p w14:paraId="6A1EC660" w14:textId="77777777" w:rsidR="00974726" w:rsidRDefault="00974726" w:rsidP="00974726">
      <w:pPr>
        <w:jc w:val="both"/>
        <w:outlineLvl w:val="0"/>
        <w:rPr>
          <w:rFonts w:eastAsia="Calibri" w:cs="Times New Roman"/>
          <w:b/>
          <w:bCs/>
          <w:i/>
          <w:iCs w:val="0"/>
          <w:szCs w:val="22"/>
          <w:u w:val="single"/>
          <w:lang w:val="es-MX" w:eastAsia="en-US"/>
        </w:rPr>
      </w:pPr>
    </w:p>
    <w:p w14:paraId="46183FF3" w14:textId="77777777" w:rsidR="00974726" w:rsidRDefault="00974726" w:rsidP="00974726">
      <w:pPr>
        <w:jc w:val="both"/>
        <w:outlineLvl w:val="0"/>
        <w:rPr>
          <w:rFonts w:eastAsia="Calibri" w:cs="Times New Roman"/>
          <w:b/>
          <w:bCs/>
          <w:i/>
          <w:iCs w:val="0"/>
          <w:szCs w:val="22"/>
          <w:u w:val="single"/>
          <w:lang w:val="es-MX" w:eastAsia="en-US"/>
        </w:rPr>
      </w:pPr>
    </w:p>
    <w:p w14:paraId="04681972" w14:textId="39AD3D5F"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Otros pasivos a corto plazo</w:t>
      </w:r>
    </w:p>
    <w:p w14:paraId="28A4D533"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5693D480"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Al 30 de junio de 2024, este rubro refleja un importe de $ 62,861 pesos y representa el 0.1 % del pasivo circulante, el cual se integra por los ingresos por clasificar, así como, los abonos bancarios pendientes de aclarar.</w:t>
      </w:r>
    </w:p>
    <w:p w14:paraId="004C1D9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03175989" w14:textId="77777777" w:rsidR="00974726" w:rsidRPr="00974726" w:rsidRDefault="00974726" w:rsidP="00974726">
      <w:pPr>
        <w:tabs>
          <w:tab w:val="left" w:pos="4537"/>
          <w:tab w:val="left" w:pos="4768"/>
          <w:tab w:val="left" w:pos="5244"/>
        </w:tabs>
        <w:autoSpaceDE w:val="0"/>
        <w:autoSpaceDN w:val="0"/>
        <w:adjustRightInd w:val="0"/>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30473799" wp14:editId="372CAF2A">
            <wp:extent cx="4953000" cy="115252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152525"/>
                    </a:xfrm>
                    <a:prstGeom prst="rect">
                      <a:avLst/>
                    </a:prstGeom>
                    <a:noFill/>
                    <a:ln>
                      <a:noFill/>
                    </a:ln>
                  </pic:spPr>
                </pic:pic>
              </a:graphicData>
            </a:graphic>
          </wp:inline>
        </w:drawing>
      </w:r>
    </w:p>
    <w:p w14:paraId="31D29B0A" w14:textId="77777777" w:rsidR="00974726" w:rsidRPr="00974726" w:rsidRDefault="00974726" w:rsidP="00974726">
      <w:pPr>
        <w:jc w:val="both"/>
        <w:rPr>
          <w:rFonts w:eastAsia="Calibri"/>
          <w:b/>
          <w:bCs/>
          <w:iCs w:val="0"/>
        </w:rPr>
      </w:pPr>
    </w:p>
    <w:p w14:paraId="77928E4F" w14:textId="77777777" w:rsidR="00974726" w:rsidRPr="00974726" w:rsidRDefault="00974726" w:rsidP="00974726">
      <w:pPr>
        <w:jc w:val="both"/>
        <w:rPr>
          <w:rFonts w:eastAsia="Calibri"/>
          <w:b/>
          <w:bCs/>
          <w:iCs w:val="0"/>
        </w:rPr>
      </w:pPr>
    </w:p>
    <w:p w14:paraId="4C6A55C9" w14:textId="77777777" w:rsidR="00974726" w:rsidRPr="00974726" w:rsidRDefault="00974726" w:rsidP="00974726">
      <w:pPr>
        <w:jc w:val="both"/>
        <w:rPr>
          <w:rFonts w:eastAsia="Calibri"/>
          <w:b/>
          <w:bCs/>
          <w:iCs w:val="0"/>
        </w:rPr>
      </w:pPr>
      <w:r w:rsidRPr="00974726">
        <w:rPr>
          <w:rFonts w:eastAsia="Calibri"/>
          <w:b/>
          <w:bCs/>
          <w:iCs w:val="0"/>
        </w:rPr>
        <w:t>No circulante</w:t>
      </w:r>
    </w:p>
    <w:p w14:paraId="2669E39A" w14:textId="77777777" w:rsidR="00974726" w:rsidRPr="00974726" w:rsidRDefault="00974726" w:rsidP="00974726">
      <w:pPr>
        <w:autoSpaceDE w:val="0"/>
        <w:autoSpaceDN w:val="0"/>
        <w:adjustRightInd w:val="0"/>
        <w:jc w:val="both"/>
        <w:rPr>
          <w:rFonts w:eastAsia="Calibri"/>
          <w:b/>
          <w:bCs/>
          <w:iCs w:val="0"/>
          <w:lang w:val="es-MX" w:eastAsia="en-US"/>
        </w:rPr>
      </w:pPr>
    </w:p>
    <w:p w14:paraId="474D4DC8" w14:textId="77777777" w:rsidR="00974726" w:rsidRPr="00974726" w:rsidRDefault="00974726" w:rsidP="00974726">
      <w:pPr>
        <w:autoSpaceDE w:val="0"/>
        <w:autoSpaceDN w:val="0"/>
        <w:adjustRightInd w:val="0"/>
        <w:jc w:val="center"/>
        <w:rPr>
          <w:rFonts w:eastAsia="Calibri"/>
          <w:b/>
          <w:bCs/>
          <w:iCs w:val="0"/>
          <w:lang w:val="es-MX" w:eastAsia="en-US"/>
        </w:rPr>
      </w:pPr>
      <w:r w:rsidRPr="00974726">
        <w:rPr>
          <w:rFonts w:eastAsia="Calibri"/>
          <w:b/>
          <w:bCs/>
          <w:iCs w:val="0"/>
          <w:noProof/>
          <w:lang w:val="es-MX" w:eastAsia="en-US"/>
        </w:rPr>
        <w:drawing>
          <wp:inline distT="0" distB="0" distL="0" distR="0" wp14:anchorId="4848BC25" wp14:editId="2966A1C6">
            <wp:extent cx="5297805" cy="22193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7805" cy="2219325"/>
                    </a:xfrm>
                    <a:prstGeom prst="rect">
                      <a:avLst/>
                    </a:prstGeom>
                    <a:noFill/>
                  </pic:spPr>
                </pic:pic>
              </a:graphicData>
            </a:graphic>
          </wp:inline>
        </w:drawing>
      </w:r>
    </w:p>
    <w:p w14:paraId="7BADCC64" w14:textId="77777777" w:rsidR="00974726" w:rsidRPr="00974726" w:rsidRDefault="00974726" w:rsidP="00974726">
      <w:pPr>
        <w:autoSpaceDE w:val="0"/>
        <w:autoSpaceDN w:val="0"/>
        <w:adjustRightInd w:val="0"/>
        <w:jc w:val="both"/>
        <w:rPr>
          <w:rFonts w:eastAsia="Calibri"/>
          <w:b/>
          <w:bCs/>
          <w:iCs w:val="0"/>
          <w:lang w:val="es-MX" w:eastAsia="en-US"/>
        </w:rPr>
      </w:pPr>
    </w:p>
    <w:p w14:paraId="55871741"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3A940D6D"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Cuentas por pagar a largo plazo</w:t>
      </w:r>
    </w:p>
    <w:p w14:paraId="5CD3EF41" w14:textId="77777777" w:rsidR="00974726" w:rsidRPr="00974726" w:rsidRDefault="00974726" w:rsidP="00974726">
      <w:pPr>
        <w:jc w:val="both"/>
        <w:outlineLvl w:val="0"/>
        <w:rPr>
          <w:rFonts w:eastAsia="Calibri" w:cs="Times New Roman"/>
          <w:iCs w:val="0"/>
          <w:noProof/>
          <w:szCs w:val="22"/>
          <w:lang w:val="es-MX" w:eastAsia="es-MX"/>
        </w:rPr>
      </w:pPr>
    </w:p>
    <w:p w14:paraId="498E7697" w14:textId="77777777" w:rsidR="00974726" w:rsidRPr="00974726" w:rsidRDefault="00974726" w:rsidP="00974726">
      <w:pPr>
        <w:jc w:val="both"/>
        <w:outlineLvl w:val="0"/>
        <w:rPr>
          <w:rFonts w:eastAsia="Calibri" w:cs="Times New Roman"/>
          <w:iCs w:val="0"/>
          <w:noProof/>
          <w:szCs w:val="22"/>
          <w:lang w:val="es-MX" w:eastAsia="es-MX"/>
        </w:rPr>
      </w:pPr>
      <w:r w:rsidRPr="00974726">
        <w:rPr>
          <w:rFonts w:eastAsia="Calibri" w:cs="Times New Roman"/>
          <w:iCs w:val="0"/>
          <w:noProof/>
          <w:szCs w:val="22"/>
          <w:lang w:val="es-MX" w:eastAsia="es-MX"/>
        </w:rPr>
        <w:t>Al 30 de junio de 2024, este rubro del pasivo no circulante, refleja el registro de los compromisos contraidos a largo plazo, por la adquisición de bienes de consumo e inventariables con proveedores.</w:t>
      </w:r>
    </w:p>
    <w:p w14:paraId="796860DC" w14:textId="77777777" w:rsidR="00974726" w:rsidRPr="00974726" w:rsidRDefault="00974726" w:rsidP="00974726">
      <w:pPr>
        <w:jc w:val="both"/>
        <w:outlineLvl w:val="0"/>
        <w:rPr>
          <w:rFonts w:eastAsia="Calibri" w:cs="Times New Roman"/>
          <w:iCs w:val="0"/>
          <w:noProof/>
          <w:szCs w:val="22"/>
          <w:lang w:val="es-MX" w:eastAsia="es-MX"/>
        </w:rPr>
      </w:pPr>
    </w:p>
    <w:p w14:paraId="3458C83E"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A la fecha que se informa este rubro refleja un importe de $ 13,042,788 pesos, y representa el 14.5 % respecto al total del pasivo no circulante.</w:t>
      </w:r>
    </w:p>
    <w:p w14:paraId="4D06B0CA"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14B90D0D" w14:textId="77777777" w:rsidR="00974726" w:rsidRPr="00974726" w:rsidRDefault="00974726" w:rsidP="00974726">
      <w:pPr>
        <w:jc w:val="center"/>
        <w:outlineLvl w:val="0"/>
        <w:rPr>
          <w:rFonts w:eastAsia="Calibri" w:cs="Times New Roman"/>
          <w:iCs w:val="0"/>
          <w:noProof/>
          <w:szCs w:val="22"/>
          <w:lang w:val="es-MX" w:eastAsia="es-MX"/>
        </w:rPr>
      </w:pPr>
      <w:r w:rsidRPr="00974726">
        <w:rPr>
          <w:rFonts w:eastAsia="Calibri" w:cs="Times New Roman"/>
          <w:iCs w:val="0"/>
          <w:noProof/>
          <w:szCs w:val="22"/>
          <w:lang w:val="es-MX" w:eastAsia="en-US"/>
        </w:rPr>
        <w:drawing>
          <wp:inline distT="0" distB="0" distL="0" distR="0" wp14:anchorId="6158E399" wp14:editId="2A20470A">
            <wp:extent cx="4953000" cy="962025"/>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1A367322" w14:textId="77777777" w:rsidR="00974726" w:rsidRPr="00974726" w:rsidRDefault="00974726" w:rsidP="00974726">
      <w:pPr>
        <w:jc w:val="both"/>
        <w:outlineLvl w:val="0"/>
        <w:rPr>
          <w:rFonts w:eastAsia="Calibri" w:cs="Times New Roman"/>
          <w:b/>
          <w:bCs/>
          <w:i/>
          <w:szCs w:val="22"/>
          <w:lang w:val="es-MX" w:eastAsia="en-US"/>
        </w:rPr>
      </w:pPr>
    </w:p>
    <w:p w14:paraId="35EB96CD" w14:textId="77777777" w:rsidR="00974726" w:rsidRPr="00974726" w:rsidRDefault="00974726" w:rsidP="00974726">
      <w:pPr>
        <w:jc w:val="both"/>
        <w:outlineLvl w:val="0"/>
        <w:rPr>
          <w:rFonts w:eastAsia="Calibri" w:cs="Times New Roman"/>
          <w:b/>
          <w:bCs/>
          <w:i/>
          <w:szCs w:val="22"/>
          <w:lang w:val="es-MX" w:eastAsia="en-US"/>
        </w:rPr>
      </w:pPr>
    </w:p>
    <w:p w14:paraId="2A04F9D6"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lastRenderedPageBreak/>
        <w:t>Pasivos diferidos a largo plazo</w:t>
      </w:r>
    </w:p>
    <w:p w14:paraId="1BF14589" w14:textId="77777777" w:rsidR="00974726" w:rsidRPr="00974726" w:rsidRDefault="00974726" w:rsidP="00974726">
      <w:pPr>
        <w:jc w:val="both"/>
        <w:outlineLvl w:val="0"/>
        <w:rPr>
          <w:rFonts w:eastAsia="Calibri" w:cs="Times New Roman"/>
          <w:b/>
          <w:bCs/>
          <w:i/>
          <w:szCs w:val="22"/>
          <w:lang w:val="es-MX" w:eastAsia="en-US"/>
        </w:rPr>
      </w:pPr>
    </w:p>
    <w:p w14:paraId="1205547E" w14:textId="3CA3602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Este rubro del pasivo no circulante se integra por el registro de prestaciones salariales del personal del Poder Judicial como son: sueldos y salarios, aguinaldo devengado no pagado, asimismo, por las aportaciones patronales al IMSS e </w:t>
      </w:r>
      <w:r w:rsidR="001C1E18">
        <w:rPr>
          <w:rFonts w:eastAsia="Calibri" w:cs="Times New Roman"/>
          <w:iCs w:val="0"/>
          <w:szCs w:val="22"/>
          <w:lang w:val="es-MX" w:eastAsia="en-US"/>
        </w:rPr>
        <w:t>Infonavit</w:t>
      </w:r>
      <w:r w:rsidRPr="00974726">
        <w:rPr>
          <w:rFonts w:eastAsia="Calibri" w:cs="Times New Roman"/>
          <w:iCs w:val="0"/>
          <w:szCs w:val="22"/>
          <w:lang w:val="es-MX" w:eastAsia="en-US"/>
        </w:rPr>
        <w:t>, y el 2 % del Impuesto Sobre Nóminas.</w:t>
      </w:r>
    </w:p>
    <w:p w14:paraId="71871054" w14:textId="77777777" w:rsidR="00974726" w:rsidRPr="00974726" w:rsidRDefault="00974726" w:rsidP="00974726">
      <w:pPr>
        <w:jc w:val="both"/>
        <w:outlineLvl w:val="0"/>
        <w:rPr>
          <w:rFonts w:eastAsia="Calibri" w:cs="Times New Roman"/>
          <w:iCs w:val="0"/>
          <w:szCs w:val="22"/>
          <w:lang w:val="es-MX" w:eastAsia="en-US"/>
        </w:rPr>
      </w:pPr>
    </w:p>
    <w:p w14:paraId="658A6D4F" w14:textId="0FC95B2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Se incluyen en este rubro, el registro de las retenciones por servicios personales: ISSS, crédito </w:t>
      </w:r>
      <w:r w:rsidR="001C1E18">
        <w:rPr>
          <w:rFonts w:eastAsia="Calibri" w:cs="Times New Roman"/>
          <w:iCs w:val="0"/>
          <w:szCs w:val="22"/>
          <w:lang w:val="es-MX" w:eastAsia="en-US"/>
        </w:rPr>
        <w:t>Infonavit</w:t>
      </w:r>
      <w:r w:rsidRPr="00974726">
        <w:rPr>
          <w:rFonts w:eastAsia="Calibri" w:cs="Times New Roman"/>
          <w:iCs w:val="0"/>
          <w:szCs w:val="22"/>
          <w:lang w:val="es-MX" w:eastAsia="en-US"/>
        </w:rPr>
        <w:t>, disciplinarios, 2 % del Impuesto Sobre Nóminas, inasistencia, aportaciones al fondo de ahorro, recuperación de préstamos personales, préstamos con instituciones financieras, pensión alimenticia; además, de las retenciones y contribuciones a favor de terceros, como: el Impuesto Sobre la Renta, así también el 10 % del ISR por honorarios y/o arrendamiento de inmuebles, así como, las sanciones a contratistas, entre otros.</w:t>
      </w:r>
    </w:p>
    <w:p w14:paraId="0A90673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60D4519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Se incluyen dentro de este rubro las asignaciones presupuestarias por concepto de constancias de antecedentes no penales y los subsidios para otras medidas económicas, para cubrir adeudos de servicios personales.</w:t>
      </w:r>
    </w:p>
    <w:p w14:paraId="4C4AF8E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33C8B97"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Además, por las retenciones efectuadas a los contratistas por obra pública, por los siguientes conceptos:</w:t>
      </w:r>
    </w:p>
    <w:p w14:paraId="74C4047B" w14:textId="77777777" w:rsidR="00974726" w:rsidRPr="00974726" w:rsidRDefault="00974726" w:rsidP="00974726">
      <w:pPr>
        <w:jc w:val="both"/>
        <w:outlineLvl w:val="0"/>
        <w:rPr>
          <w:rFonts w:eastAsia="Calibri" w:cs="Times New Roman"/>
          <w:iCs w:val="0"/>
          <w:szCs w:val="22"/>
          <w:lang w:val="es-MX" w:eastAsia="en-US"/>
        </w:rPr>
      </w:pPr>
    </w:p>
    <w:p w14:paraId="1EECE0CA" w14:textId="77777777" w:rsidR="00974726" w:rsidRPr="00974726" w:rsidRDefault="00974726" w:rsidP="00974726">
      <w:pPr>
        <w:numPr>
          <w:ilvl w:val="0"/>
          <w:numId w:val="1"/>
        </w:numPr>
        <w:spacing w:after="120"/>
        <w:ind w:left="357" w:hanging="357"/>
        <w:jc w:val="both"/>
        <w:rPr>
          <w:rFonts w:eastAsia="Calibri" w:cs="Times New Roman"/>
          <w:iCs w:val="0"/>
          <w:szCs w:val="22"/>
          <w:lang w:val="es-MX" w:eastAsia="en-US"/>
        </w:rPr>
      </w:pPr>
      <w:r w:rsidRPr="00974726">
        <w:rPr>
          <w:rFonts w:eastAsia="Calibri" w:cs="Times New Roman"/>
          <w:iCs w:val="0"/>
          <w:szCs w:val="22"/>
          <w:lang w:val="es-MX" w:eastAsia="en-US"/>
        </w:rPr>
        <w:t>1 % de Aportación al Estado para Obras de Beneficio Social.</w:t>
      </w:r>
    </w:p>
    <w:p w14:paraId="007873D6" w14:textId="77777777" w:rsidR="00974726" w:rsidRPr="00974726" w:rsidRDefault="00974726" w:rsidP="00974726">
      <w:pPr>
        <w:numPr>
          <w:ilvl w:val="0"/>
          <w:numId w:val="1"/>
        </w:numPr>
        <w:spacing w:after="120"/>
        <w:ind w:left="357" w:hanging="357"/>
        <w:jc w:val="both"/>
        <w:rPr>
          <w:rFonts w:eastAsia="Calibri" w:cs="Times New Roman"/>
          <w:iCs w:val="0"/>
          <w:szCs w:val="22"/>
          <w:lang w:val="es-MX" w:eastAsia="en-US"/>
        </w:rPr>
      </w:pPr>
      <w:r w:rsidRPr="00974726">
        <w:rPr>
          <w:rFonts w:eastAsia="Calibri" w:cs="Times New Roman"/>
          <w:iCs w:val="0"/>
          <w:szCs w:val="22"/>
          <w:lang w:val="es-MX" w:eastAsia="en-US"/>
        </w:rPr>
        <w:t>5 al millar de Inspección y Vigilancia.</w:t>
      </w:r>
    </w:p>
    <w:p w14:paraId="2800930A" w14:textId="77777777" w:rsidR="00974726" w:rsidRPr="00974726" w:rsidRDefault="00974726" w:rsidP="00974726">
      <w:pPr>
        <w:jc w:val="both"/>
        <w:rPr>
          <w:rFonts w:eastAsia="Calibri" w:cs="Times New Roman"/>
          <w:iCs w:val="0"/>
          <w:szCs w:val="22"/>
          <w:lang w:val="es-MX" w:eastAsia="en-US"/>
        </w:rPr>
      </w:pPr>
    </w:p>
    <w:p w14:paraId="3915A640"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Por otra parte, dentro este rubro se encuentra los préstamos del fondo auxiliar, los rendimientos bancarios, los reintegros de recursos, los cheques cancelados, los cheques en circulación no cobrados en oportunidad, los abonos bancarios por aclarar, y otros subsidios.</w:t>
      </w:r>
    </w:p>
    <w:p w14:paraId="0E97AC66" w14:textId="77777777" w:rsidR="00974726" w:rsidRPr="00974726" w:rsidRDefault="00974726" w:rsidP="00974726">
      <w:pPr>
        <w:jc w:val="both"/>
        <w:rPr>
          <w:rFonts w:eastAsia="Calibri" w:cs="Times New Roman"/>
          <w:iCs w:val="0"/>
          <w:szCs w:val="22"/>
          <w:lang w:val="es-MX" w:eastAsia="en-US"/>
        </w:rPr>
      </w:pPr>
    </w:p>
    <w:p w14:paraId="6BBD7741"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El saldo de este rubro al 30 de junio de 2024, ascendió a $ 51,379,598 pesos, y representa el 57.2 % del total del pasivo no circulante.</w:t>
      </w:r>
    </w:p>
    <w:p w14:paraId="5E94ED46" w14:textId="77777777" w:rsidR="00974726" w:rsidRPr="00974726" w:rsidRDefault="00974726" w:rsidP="00974726">
      <w:pPr>
        <w:jc w:val="both"/>
        <w:outlineLvl w:val="0"/>
        <w:rPr>
          <w:rFonts w:eastAsia="Calibri" w:cs="Times New Roman"/>
          <w:iCs w:val="0"/>
          <w:szCs w:val="22"/>
          <w:lang w:val="es-MX" w:eastAsia="en-US"/>
        </w:rPr>
      </w:pPr>
    </w:p>
    <w:p w14:paraId="125F8F98"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33521809" wp14:editId="6F70DD18">
            <wp:extent cx="4953000" cy="962025"/>
            <wp:effectExtent l="0" t="0" r="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771462AD" w14:textId="77777777" w:rsidR="00974726" w:rsidRPr="00974726" w:rsidRDefault="00974726" w:rsidP="00974726">
      <w:pPr>
        <w:jc w:val="both"/>
        <w:outlineLvl w:val="0"/>
        <w:rPr>
          <w:rFonts w:eastAsia="Calibri" w:cs="Times New Roman"/>
          <w:iCs w:val="0"/>
          <w:szCs w:val="22"/>
          <w:lang w:val="es-MX" w:eastAsia="en-US"/>
        </w:rPr>
      </w:pPr>
    </w:p>
    <w:p w14:paraId="641A8A58" w14:textId="77777777" w:rsidR="00974726" w:rsidRPr="00974726" w:rsidRDefault="00974726" w:rsidP="00974726">
      <w:pPr>
        <w:jc w:val="both"/>
        <w:outlineLvl w:val="0"/>
        <w:rPr>
          <w:rFonts w:eastAsia="Calibri" w:cs="Times New Roman"/>
          <w:iCs w:val="0"/>
          <w:szCs w:val="22"/>
          <w:lang w:val="es-MX" w:eastAsia="en-US"/>
        </w:rPr>
      </w:pPr>
    </w:p>
    <w:p w14:paraId="693A49C7"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Fondos y bienes de terceros en garantía y/o administración a largo plazo</w:t>
      </w:r>
    </w:p>
    <w:p w14:paraId="7C2D4223" w14:textId="77777777" w:rsidR="00974726" w:rsidRPr="00974726" w:rsidRDefault="00974726" w:rsidP="00974726">
      <w:pPr>
        <w:jc w:val="both"/>
        <w:outlineLvl w:val="0"/>
        <w:rPr>
          <w:rFonts w:eastAsia="Calibri" w:cs="Times New Roman"/>
          <w:b/>
          <w:bCs/>
          <w:i/>
          <w:szCs w:val="22"/>
          <w:lang w:val="es-MX" w:eastAsia="en-US"/>
        </w:rPr>
      </w:pPr>
    </w:p>
    <w:p w14:paraId="6F4F39AA"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Este rubro presenta un saldo de $ 383,749 pesos, al 30 de junio de 2024 y se integra por las obligaciones con ingresos propios, como son: licitaciones, sanciones por incumplimiento y reintegros por concepto de servicios básicos.</w:t>
      </w:r>
    </w:p>
    <w:p w14:paraId="4D641FD3" w14:textId="77777777" w:rsidR="00974726" w:rsidRPr="00974726" w:rsidRDefault="00974726" w:rsidP="00974726">
      <w:pPr>
        <w:jc w:val="both"/>
        <w:outlineLvl w:val="0"/>
        <w:rPr>
          <w:rFonts w:eastAsia="Calibri" w:cs="Times New Roman"/>
          <w:iCs w:val="0"/>
          <w:szCs w:val="22"/>
          <w:lang w:val="es-MX" w:eastAsia="en-US"/>
        </w:rPr>
      </w:pPr>
    </w:p>
    <w:p w14:paraId="1525BF3E"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Este rubro representa 0.4 % de total del pasivo no circulante.</w:t>
      </w:r>
    </w:p>
    <w:p w14:paraId="64265BFA" w14:textId="77777777" w:rsidR="00974726" w:rsidRPr="00974726" w:rsidRDefault="00974726" w:rsidP="00974726">
      <w:pPr>
        <w:jc w:val="both"/>
        <w:outlineLvl w:val="0"/>
        <w:rPr>
          <w:rFonts w:eastAsia="Calibri" w:cs="Times New Roman"/>
          <w:b/>
          <w:bCs/>
          <w:i/>
          <w:szCs w:val="22"/>
          <w:lang w:val="es-MX" w:eastAsia="en-US"/>
        </w:rPr>
      </w:pPr>
    </w:p>
    <w:p w14:paraId="2EA37757" w14:textId="77777777" w:rsidR="00974726" w:rsidRPr="00974726" w:rsidRDefault="00974726" w:rsidP="00974726">
      <w:pPr>
        <w:jc w:val="center"/>
        <w:outlineLvl w:val="0"/>
        <w:rPr>
          <w:rFonts w:eastAsia="Calibri" w:cs="Times New Roman"/>
          <w:iCs w:val="0"/>
          <w:noProof/>
          <w:szCs w:val="22"/>
          <w:lang w:val="es-MX" w:eastAsia="es-MX"/>
        </w:rPr>
      </w:pPr>
      <w:r w:rsidRPr="00974726">
        <w:rPr>
          <w:rFonts w:eastAsia="Calibri" w:cs="Times New Roman"/>
          <w:iCs w:val="0"/>
          <w:noProof/>
          <w:szCs w:val="22"/>
          <w:lang w:val="es-MX" w:eastAsia="en-US"/>
        </w:rPr>
        <w:drawing>
          <wp:inline distT="0" distB="0" distL="0" distR="0" wp14:anchorId="57DEDB07" wp14:editId="1B857862">
            <wp:extent cx="4953000" cy="109537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0" cy="1095375"/>
                    </a:xfrm>
                    <a:prstGeom prst="rect">
                      <a:avLst/>
                    </a:prstGeom>
                    <a:noFill/>
                    <a:ln>
                      <a:noFill/>
                    </a:ln>
                  </pic:spPr>
                </pic:pic>
              </a:graphicData>
            </a:graphic>
          </wp:inline>
        </w:drawing>
      </w:r>
    </w:p>
    <w:p w14:paraId="5025FF33" w14:textId="77777777" w:rsidR="00974726" w:rsidRPr="00974726" w:rsidRDefault="00974726" w:rsidP="00974726">
      <w:pPr>
        <w:jc w:val="both"/>
        <w:outlineLvl w:val="0"/>
        <w:rPr>
          <w:rFonts w:eastAsia="Calibri" w:cs="Times New Roman"/>
          <w:b/>
          <w:bCs/>
          <w:i/>
          <w:szCs w:val="22"/>
          <w:lang w:val="es-MX" w:eastAsia="en-US"/>
        </w:rPr>
      </w:pPr>
    </w:p>
    <w:p w14:paraId="5CBC2303" w14:textId="77777777" w:rsidR="00974726" w:rsidRPr="00974726" w:rsidRDefault="00974726" w:rsidP="00974726">
      <w:pPr>
        <w:jc w:val="both"/>
        <w:outlineLvl w:val="0"/>
        <w:rPr>
          <w:rFonts w:eastAsia="Calibri" w:cs="Times New Roman"/>
          <w:b/>
          <w:bCs/>
          <w:i/>
          <w:szCs w:val="22"/>
          <w:lang w:val="es-MX" w:eastAsia="en-US"/>
        </w:rPr>
      </w:pPr>
    </w:p>
    <w:p w14:paraId="389821FA" w14:textId="77777777" w:rsidR="00974726" w:rsidRPr="00974726" w:rsidRDefault="00974726" w:rsidP="00974726">
      <w:pPr>
        <w:jc w:val="both"/>
        <w:outlineLvl w:val="0"/>
        <w:rPr>
          <w:rFonts w:eastAsia="Calibri" w:cs="Times New Roman"/>
          <w:b/>
          <w:bCs/>
          <w:i/>
          <w:iCs w:val="0"/>
          <w:szCs w:val="22"/>
          <w:u w:val="single"/>
          <w:lang w:val="es-MX" w:eastAsia="en-US"/>
        </w:rPr>
      </w:pPr>
      <w:r w:rsidRPr="00974726">
        <w:rPr>
          <w:rFonts w:eastAsia="Calibri" w:cs="Times New Roman"/>
          <w:b/>
          <w:bCs/>
          <w:i/>
          <w:iCs w:val="0"/>
          <w:szCs w:val="22"/>
          <w:u w:val="single"/>
          <w:lang w:val="es-MX" w:eastAsia="en-US"/>
        </w:rPr>
        <w:t>Provisiones a largo plazo</w:t>
      </w:r>
    </w:p>
    <w:p w14:paraId="3F5C3F46" w14:textId="77777777" w:rsidR="00974726" w:rsidRPr="00974726" w:rsidRDefault="00974726" w:rsidP="00974726">
      <w:pPr>
        <w:jc w:val="both"/>
        <w:outlineLvl w:val="0"/>
        <w:rPr>
          <w:rFonts w:eastAsia="Calibri" w:cs="Times New Roman"/>
          <w:b/>
          <w:bCs/>
          <w:i/>
          <w:szCs w:val="22"/>
          <w:lang w:val="es-MX" w:eastAsia="en-US"/>
        </w:rPr>
      </w:pPr>
    </w:p>
    <w:p w14:paraId="50F436E5"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Este rubro se integra por la provisión para demandas y juicios a largo plazo, para hacer frente a casos fortuitos, que resulten de la operatividad de los entes públicos que conforman el Poder Judicial. </w:t>
      </w:r>
    </w:p>
    <w:p w14:paraId="43EAE08F" w14:textId="77777777" w:rsidR="00974726" w:rsidRPr="00974726" w:rsidRDefault="00974726" w:rsidP="00974726">
      <w:pPr>
        <w:jc w:val="both"/>
        <w:outlineLvl w:val="0"/>
        <w:rPr>
          <w:rFonts w:eastAsia="Calibri" w:cs="Times New Roman"/>
          <w:iCs w:val="0"/>
          <w:szCs w:val="22"/>
          <w:lang w:val="es-MX" w:eastAsia="en-US"/>
        </w:rPr>
      </w:pPr>
    </w:p>
    <w:p w14:paraId="24B5A0F9"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Al 30 de junio de 2024, este rubro asciende a $ 25,015,775 pesos y representa el 27.9 % del total del pasivo no circulante.</w:t>
      </w:r>
    </w:p>
    <w:p w14:paraId="3403C86D" w14:textId="77777777" w:rsidR="00974726" w:rsidRPr="00974726" w:rsidRDefault="00974726" w:rsidP="00974726">
      <w:pPr>
        <w:jc w:val="center"/>
        <w:outlineLvl w:val="0"/>
        <w:rPr>
          <w:rFonts w:eastAsia="Calibri" w:cs="Times New Roman"/>
          <w:iCs w:val="0"/>
          <w:noProof/>
          <w:szCs w:val="22"/>
          <w:lang w:val="es-MX" w:eastAsia="es-MX"/>
        </w:rPr>
      </w:pPr>
      <w:r w:rsidRPr="00974726">
        <w:rPr>
          <w:rFonts w:eastAsia="Calibri" w:cs="Times New Roman"/>
          <w:iCs w:val="0"/>
          <w:noProof/>
          <w:szCs w:val="22"/>
          <w:lang w:val="es-MX" w:eastAsia="en-US"/>
        </w:rPr>
        <w:lastRenderedPageBreak/>
        <w:drawing>
          <wp:inline distT="0" distB="0" distL="0" distR="0" wp14:anchorId="6A67FD19" wp14:editId="32659C72">
            <wp:extent cx="4953000" cy="962025"/>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962025"/>
                    </a:xfrm>
                    <a:prstGeom prst="rect">
                      <a:avLst/>
                    </a:prstGeom>
                    <a:noFill/>
                    <a:ln>
                      <a:noFill/>
                    </a:ln>
                  </pic:spPr>
                </pic:pic>
              </a:graphicData>
            </a:graphic>
          </wp:inline>
        </w:drawing>
      </w:r>
    </w:p>
    <w:p w14:paraId="3DFD0BAA" w14:textId="77777777" w:rsidR="00974726" w:rsidRDefault="00974726" w:rsidP="00974726">
      <w:pPr>
        <w:jc w:val="both"/>
        <w:rPr>
          <w:rFonts w:eastAsia="Calibri"/>
          <w:b/>
          <w:bCs/>
          <w:iCs w:val="0"/>
        </w:rPr>
      </w:pPr>
    </w:p>
    <w:p w14:paraId="58E3F820" w14:textId="77777777" w:rsidR="00974726" w:rsidRDefault="00974726" w:rsidP="00974726">
      <w:pPr>
        <w:jc w:val="both"/>
        <w:rPr>
          <w:rFonts w:eastAsia="Calibri"/>
          <w:b/>
          <w:bCs/>
          <w:iCs w:val="0"/>
        </w:rPr>
      </w:pPr>
    </w:p>
    <w:p w14:paraId="102CD019" w14:textId="2FB549FB" w:rsidR="00974726" w:rsidRPr="00974726" w:rsidRDefault="00974726" w:rsidP="00974726">
      <w:pPr>
        <w:jc w:val="both"/>
        <w:rPr>
          <w:rFonts w:eastAsia="Calibri"/>
          <w:b/>
          <w:bCs/>
          <w:iCs w:val="0"/>
          <w:caps/>
        </w:rPr>
      </w:pPr>
      <w:r w:rsidRPr="00974726">
        <w:rPr>
          <w:rFonts w:eastAsia="Calibri"/>
          <w:b/>
          <w:bCs/>
          <w:iCs w:val="0"/>
        </w:rPr>
        <w:t>Notas al estado de variación en la hacienda pública</w:t>
      </w:r>
    </w:p>
    <w:p w14:paraId="22380209" w14:textId="77777777" w:rsidR="00974726" w:rsidRPr="00974726" w:rsidRDefault="00974726" w:rsidP="00974726">
      <w:pPr>
        <w:jc w:val="both"/>
        <w:outlineLvl w:val="0"/>
        <w:rPr>
          <w:rFonts w:eastAsia="Calibri" w:cs="Times New Roman"/>
          <w:iCs w:val="0"/>
          <w:szCs w:val="22"/>
          <w:lang w:val="es-MX" w:eastAsia="en-US"/>
        </w:rPr>
      </w:pPr>
    </w:p>
    <w:p w14:paraId="59B2DA86"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La hacienda pública representa el importe de los bienes y derechos, propiedad del Poder Judicial, dicho importe es modificado principalmente por el resultado positivo obtenido al periodo que se informa el cual asciende a </w:t>
      </w:r>
      <w:r w:rsidRPr="00974726">
        <w:rPr>
          <w:rFonts w:eastAsia="Calibri" w:cs="Times New Roman"/>
          <w:iCs w:val="0"/>
          <w:szCs w:val="22"/>
          <w:lang w:val="es-MX" w:eastAsia="en-US"/>
        </w:rPr>
        <w:br/>
        <w:t>$ 35,858,374 pesos, también es afectado por el resultado derivado del registro de operaciones de ejercicios anteriores por reintegros de años anteriores; a la fecha, la hacienda pública refleja un saldo de $ 887,576,199 pesos.</w:t>
      </w:r>
    </w:p>
    <w:p w14:paraId="3D763CEB" w14:textId="77777777" w:rsidR="00974726" w:rsidRPr="00974726" w:rsidRDefault="00974726" w:rsidP="00974726">
      <w:pPr>
        <w:jc w:val="both"/>
        <w:outlineLvl w:val="0"/>
        <w:rPr>
          <w:rFonts w:eastAsia="Calibri" w:cs="Times New Roman"/>
          <w:iCs w:val="0"/>
          <w:szCs w:val="22"/>
          <w:lang w:val="es-MX" w:eastAsia="en-US"/>
        </w:rPr>
      </w:pPr>
    </w:p>
    <w:p w14:paraId="7C0BCEF8"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Así también, es modificado por el aumento o disminución al patrimonio, derivado del registro de los incrementos o decrementos realizados al patrimonio, a la fecha que se informa, presenta una modificación neta positiva al patrimonio de $ 31,166,976 pesos.</w:t>
      </w:r>
    </w:p>
    <w:p w14:paraId="6C100ADC" w14:textId="77777777" w:rsidR="00974726" w:rsidRPr="00974726" w:rsidRDefault="00974726" w:rsidP="00974726">
      <w:pPr>
        <w:jc w:val="both"/>
        <w:outlineLvl w:val="0"/>
        <w:rPr>
          <w:rFonts w:eastAsia="Calibri" w:cs="Times New Roman"/>
          <w:iCs w:val="0"/>
          <w:szCs w:val="22"/>
          <w:lang w:val="es-MX" w:eastAsia="en-US"/>
        </w:rPr>
      </w:pPr>
    </w:p>
    <w:p w14:paraId="3E7D830C" w14:textId="77777777" w:rsidR="00974726" w:rsidRPr="00974726" w:rsidRDefault="00974726" w:rsidP="00974726">
      <w:pPr>
        <w:jc w:val="both"/>
        <w:rPr>
          <w:rFonts w:eastAsia="Calibri"/>
          <w:b/>
          <w:bCs/>
          <w:iCs w:val="0"/>
        </w:rPr>
      </w:pPr>
      <w:r w:rsidRPr="00974726">
        <w:rPr>
          <w:rFonts w:eastAsia="Calibri"/>
          <w:b/>
          <w:bCs/>
          <w:iCs w:val="0"/>
        </w:rPr>
        <w:t>Notas al estado de flujos de efectivo</w:t>
      </w:r>
    </w:p>
    <w:p w14:paraId="70193734" w14:textId="77777777" w:rsidR="00974726" w:rsidRPr="00974726" w:rsidRDefault="00974726" w:rsidP="00974726">
      <w:pPr>
        <w:jc w:val="both"/>
        <w:outlineLvl w:val="0"/>
        <w:rPr>
          <w:rFonts w:eastAsia="Calibri" w:cs="Times New Roman"/>
          <w:iCs w:val="0"/>
          <w:szCs w:val="22"/>
          <w:lang w:val="es-MX" w:eastAsia="en-US"/>
        </w:rPr>
      </w:pPr>
    </w:p>
    <w:p w14:paraId="1267A98C"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El estado de flujos de efectivo del Poder Judicial, muestra los flujos de efectivo, conformado por los elementos básicos: origen y aplicación de los recursos.</w:t>
      </w:r>
    </w:p>
    <w:p w14:paraId="2DE029D1"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0BB0F51F"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El incremento neto en el efectivo y equivalentes al efectivo, al 30 de junio de 2024 presenta una cifra de $ 9,242,827 pesos. </w:t>
      </w:r>
    </w:p>
    <w:p w14:paraId="1EB85099"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1FF8C91D" w14:textId="77777777" w:rsidR="00974726" w:rsidRPr="00974726" w:rsidRDefault="00974726" w:rsidP="00974726">
      <w:pPr>
        <w:jc w:val="both"/>
        <w:rPr>
          <w:rFonts w:eastAsia="Calibri"/>
          <w:b/>
          <w:bCs/>
          <w:iCs w:val="0"/>
        </w:rPr>
      </w:pPr>
      <w:r w:rsidRPr="00974726">
        <w:rPr>
          <w:rFonts w:eastAsia="Calibri"/>
          <w:b/>
          <w:bCs/>
          <w:iCs w:val="0"/>
        </w:rPr>
        <w:t>Flujo de efectivo de las actividades de operación</w:t>
      </w:r>
    </w:p>
    <w:p w14:paraId="2648149C" w14:textId="77777777" w:rsidR="00974726" w:rsidRPr="00974726" w:rsidRDefault="00974726" w:rsidP="00974726">
      <w:pPr>
        <w:tabs>
          <w:tab w:val="left" w:pos="6840"/>
        </w:tabs>
        <w:jc w:val="both"/>
        <w:outlineLvl w:val="0"/>
        <w:rPr>
          <w:rFonts w:eastAsia="Calibri" w:cs="Times New Roman"/>
          <w:b/>
          <w:i/>
          <w:iCs w:val="0"/>
          <w:szCs w:val="22"/>
          <w:lang w:val="es-MX" w:eastAsia="en-US"/>
        </w:rPr>
      </w:pPr>
    </w:p>
    <w:p w14:paraId="364B6B8E"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Durante el periodo que se informa, el Poder Judicial presentó ingresos de gestión por la cantidad de $ 541,292,520 pesos. El gasto de funcionamiento devengado por el período comprendido del 1 de enero al 30 de junio de 2024 asciende a $ 505,434,146 pesos, el cual representa un flujo neto positivo por actividades de operación por un importe </w:t>
      </w:r>
      <w:proofErr w:type="gramStart"/>
      <w:r w:rsidRPr="00974726">
        <w:rPr>
          <w:rFonts w:eastAsia="Calibri" w:cs="Times New Roman"/>
          <w:iCs w:val="0"/>
          <w:szCs w:val="22"/>
          <w:lang w:val="es-MX" w:eastAsia="en-US"/>
        </w:rPr>
        <w:t>de  $</w:t>
      </w:r>
      <w:proofErr w:type="gramEnd"/>
      <w:r w:rsidRPr="00974726">
        <w:rPr>
          <w:rFonts w:eastAsia="Calibri" w:cs="Times New Roman"/>
          <w:iCs w:val="0"/>
          <w:szCs w:val="22"/>
          <w:lang w:val="es-MX" w:eastAsia="en-US"/>
        </w:rPr>
        <w:t xml:space="preserve"> 35,858,374 pesos.</w:t>
      </w:r>
    </w:p>
    <w:p w14:paraId="0669F9FC"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2AA7F265" w14:textId="77777777" w:rsidR="00974726" w:rsidRPr="00974726" w:rsidRDefault="00974726" w:rsidP="00974726">
      <w:pPr>
        <w:jc w:val="both"/>
        <w:rPr>
          <w:rFonts w:eastAsia="Calibri"/>
          <w:b/>
          <w:bCs/>
          <w:iCs w:val="0"/>
        </w:rPr>
      </w:pPr>
      <w:r w:rsidRPr="00974726">
        <w:rPr>
          <w:rFonts w:eastAsia="Calibri"/>
          <w:b/>
          <w:bCs/>
          <w:iCs w:val="0"/>
        </w:rPr>
        <w:t>Flujo de efectivo de las actividades de inversión</w:t>
      </w:r>
    </w:p>
    <w:p w14:paraId="080AC8DD" w14:textId="77777777" w:rsidR="00974726" w:rsidRPr="00974726" w:rsidRDefault="00974726" w:rsidP="00974726">
      <w:pPr>
        <w:tabs>
          <w:tab w:val="left" w:pos="6840"/>
        </w:tabs>
        <w:jc w:val="both"/>
        <w:outlineLvl w:val="0"/>
        <w:rPr>
          <w:rFonts w:eastAsia="Calibri" w:cs="Times New Roman"/>
          <w:b/>
          <w:i/>
          <w:iCs w:val="0"/>
          <w:szCs w:val="22"/>
          <w:lang w:val="es-MX" w:eastAsia="en-US"/>
        </w:rPr>
      </w:pPr>
    </w:p>
    <w:p w14:paraId="20C8744B"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Durante el periodo que se informa, el Poder Judicial reflejó ingresos de inversión por la cantidad de $ 9,525,372 pesos. El gasto de inversión devengado por el periodo comprendido del 1 de enero al 30 de junio de 2024 refleja la cifra de $ 20,199,857 pesos, el cual representa un flujo neto negativo por actividades de inversión por un importe de $ 10,674,485 pesos.</w:t>
      </w:r>
    </w:p>
    <w:p w14:paraId="452228F4"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4A89EBF6" w14:textId="77777777" w:rsidR="00974726" w:rsidRPr="00974726" w:rsidRDefault="00974726" w:rsidP="00974726">
      <w:pPr>
        <w:jc w:val="both"/>
        <w:rPr>
          <w:rFonts w:eastAsia="Calibri"/>
          <w:b/>
          <w:bCs/>
          <w:iCs w:val="0"/>
        </w:rPr>
      </w:pPr>
      <w:r w:rsidRPr="00974726">
        <w:rPr>
          <w:rFonts w:eastAsia="Calibri"/>
          <w:b/>
          <w:bCs/>
          <w:iCs w:val="0"/>
        </w:rPr>
        <w:t>Flujo de efectivo de las actividades de financiamiento</w:t>
      </w:r>
    </w:p>
    <w:p w14:paraId="282E159C" w14:textId="77777777" w:rsidR="00974726" w:rsidRPr="00974726" w:rsidRDefault="00974726" w:rsidP="00974726">
      <w:pPr>
        <w:tabs>
          <w:tab w:val="left" w:pos="6840"/>
        </w:tabs>
        <w:jc w:val="both"/>
        <w:outlineLvl w:val="0"/>
        <w:rPr>
          <w:rFonts w:eastAsia="Calibri" w:cs="Times New Roman"/>
          <w:b/>
          <w:i/>
          <w:iCs w:val="0"/>
          <w:szCs w:val="22"/>
          <w:lang w:val="es-MX" w:eastAsia="en-US"/>
        </w:rPr>
      </w:pPr>
    </w:p>
    <w:p w14:paraId="0AFFC1F7"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Durante el periodo que se informa, el Poder Judicial reflejó ingresos por financiamiento por la cantidad de $ 6,552,745 pesos. La aplicación por actividades de financiamiento por el periodo comprendido del 1 de enero al 30 de junio de 2024 asciende a $ 22,493,807 pesos, el cual representa un flujo neto a la baja por actividades de financiamiento por un importe de $ 15,941,062 pesos.</w:t>
      </w:r>
    </w:p>
    <w:p w14:paraId="10C0CE5D"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4FB99103" w14:textId="77777777" w:rsidR="00974726" w:rsidRPr="00974726" w:rsidRDefault="00974726" w:rsidP="00974726">
      <w:pPr>
        <w:jc w:val="both"/>
        <w:rPr>
          <w:rFonts w:eastAsia="Calibri"/>
          <w:b/>
          <w:bCs/>
          <w:iCs w:val="0"/>
        </w:rPr>
      </w:pPr>
      <w:r w:rsidRPr="00974726">
        <w:rPr>
          <w:rFonts w:eastAsia="Calibri"/>
          <w:b/>
          <w:bCs/>
          <w:iCs w:val="0"/>
        </w:rPr>
        <w:t>Efectivo y equivalentes al efectivo al final del ejercicio</w:t>
      </w:r>
    </w:p>
    <w:p w14:paraId="1CFD0805" w14:textId="77777777" w:rsidR="00974726" w:rsidRPr="00974726" w:rsidRDefault="00974726" w:rsidP="00974726">
      <w:pPr>
        <w:numPr>
          <w:ilvl w:val="1"/>
          <w:numId w:val="0"/>
        </w:numPr>
        <w:jc w:val="both"/>
        <w:rPr>
          <w:rFonts w:eastAsia="Calibri"/>
          <w:b/>
          <w:bCs/>
          <w:iCs w:val="0"/>
          <w:lang w:val="es-MX" w:eastAsia="en-US"/>
        </w:rPr>
      </w:pPr>
    </w:p>
    <w:p w14:paraId="322958D2" w14:textId="77777777" w:rsidR="00974726" w:rsidRPr="00974726" w:rsidRDefault="00974726" w:rsidP="00974726">
      <w:pPr>
        <w:numPr>
          <w:ilvl w:val="1"/>
          <w:numId w:val="0"/>
        </w:numPr>
        <w:jc w:val="both"/>
        <w:rPr>
          <w:rFonts w:eastAsia="Calibri"/>
          <w:bCs/>
          <w:iCs w:val="0"/>
          <w:lang w:val="es-MX" w:eastAsia="en-US"/>
        </w:rPr>
      </w:pPr>
      <w:r w:rsidRPr="00974726">
        <w:rPr>
          <w:rFonts w:eastAsia="Calibri"/>
          <w:bCs/>
          <w:iCs w:val="0"/>
          <w:lang w:val="es-MX" w:eastAsia="en-US"/>
        </w:rPr>
        <w:t>Las cifras del efectivo y equivalentes al efectivo, al final del ejercicio que figuran la última parte del estado de flujos de efectivo del Poder Judicial, es el siguiente:</w:t>
      </w:r>
    </w:p>
    <w:p w14:paraId="7741422F" w14:textId="77777777" w:rsidR="00974726" w:rsidRPr="00974726" w:rsidRDefault="00974726" w:rsidP="00974726">
      <w:pPr>
        <w:tabs>
          <w:tab w:val="left" w:pos="6840"/>
        </w:tabs>
        <w:jc w:val="both"/>
        <w:outlineLvl w:val="0"/>
        <w:rPr>
          <w:rFonts w:eastAsia="Calibri"/>
          <w:iCs w:val="0"/>
          <w:lang w:val="es-MX" w:eastAsia="en-US"/>
        </w:rPr>
      </w:pPr>
    </w:p>
    <w:p w14:paraId="1D94F35F" w14:textId="77777777" w:rsidR="00974726" w:rsidRPr="00974726" w:rsidRDefault="00974726" w:rsidP="00974726">
      <w:pPr>
        <w:tabs>
          <w:tab w:val="left" w:pos="6840"/>
        </w:tabs>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7F2F9E9F" wp14:editId="60E53877">
            <wp:extent cx="4953000" cy="122872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1228725"/>
                    </a:xfrm>
                    <a:prstGeom prst="rect">
                      <a:avLst/>
                    </a:prstGeom>
                    <a:noFill/>
                    <a:ln>
                      <a:noFill/>
                    </a:ln>
                  </pic:spPr>
                </pic:pic>
              </a:graphicData>
            </a:graphic>
          </wp:inline>
        </w:drawing>
      </w:r>
    </w:p>
    <w:p w14:paraId="7649455F" w14:textId="77777777" w:rsidR="00974726" w:rsidRPr="00974726" w:rsidRDefault="00974726" w:rsidP="00974726">
      <w:pPr>
        <w:jc w:val="both"/>
        <w:rPr>
          <w:rFonts w:eastAsia="Calibri"/>
          <w:b/>
          <w:bCs/>
          <w:iCs w:val="0"/>
        </w:rPr>
      </w:pPr>
    </w:p>
    <w:p w14:paraId="73F740C0" w14:textId="77777777" w:rsidR="00974726" w:rsidRPr="00974726" w:rsidRDefault="00974726" w:rsidP="00974726">
      <w:pPr>
        <w:jc w:val="both"/>
        <w:rPr>
          <w:rFonts w:eastAsia="Calibri"/>
          <w:b/>
          <w:bCs/>
          <w:iCs w:val="0"/>
        </w:rPr>
      </w:pPr>
    </w:p>
    <w:p w14:paraId="6F7BEDAC" w14:textId="77777777" w:rsidR="00974726" w:rsidRPr="00974726" w:rsidRDefault="00974726" w:rsidP="00974726">
      <w:pPr>
        <w:jc w:val="both"/>
        <w:rPr>
          <w:rFonts w:eastAsia="Calibri"/>
          <w:b/>
          <w:bCs/>
          <w:iCs w:val="0"/>
        </w:rPr>
      </w:pPr>
      <w:r w:rsidRPr="00974726">
        <w:rPr>
          <w:rFonts w:eastAsia="Calibri"/>
          <w:b/>
          <w:bCs/>
          <w:iCs w:val="0"/>
        </w:rPr>
        <w:t>Efectivo y equivalentes</w:t>
      </w:r>
    </w:p>
    <w:p w14:paraId="0059DD4B" w14:textId="77777777" w:rsidR="00974726" w:rsidRPr="00974726" w:rsidRDefault="00974726" w:rsidP="00974726">
      <w:pPr>
        <w:jc w:val="both"/>
        <w:rPr>
          <w:rFonts w:eastAsia="Calibri" w:cs="Times New Roman"/>
          <w:b/>
          <w:iCs w:val="0"/>
          <w:szCs w:val="22"/>
          <w:lang w:val="es-MX" w:eastAsia="en-US"/>
        </w:rPr>
      </w:pPr>
    </w:p>
    <w:p w14:paraId="128B38D3" w14:textId="4198140B" w:rsidR="00974726" w:rsidRDefault="00974726" w:rsidP="00974726">
      <w:pPr>
        <w:tabs>
          <w:tab w:val="left" w:pos="6690"/>
        </w:tabs>
        <w:jc w:val="both"/>
        <w:rPr>
          <w:rFonts w:eastAsia="Calibri" w:cs="Times New Roman"/>
          <w:iCs w:val="0"/>
          <w:szCs w:val="22"/>
          <w:lang w:val="es-MX" w:eastAsia="en-US"/>
        </w:rPr>
      </w:pPr>
      <w:r w:rsidRPr="00974726">
        <w:rPr>
          <w:rFonts w:eastAsia="Calibri" w:cs="Times New Roman"/>
          <w:iCs w:val="0"/>
          <w:szCs w:val="22"/>
          <w:lang w:val="es-MX" w:eastAsia="en-US"/>
        </w:rPr>
        <w:t>El análisis de los saldos inicial y final de efectivo y equivalentes al efectivo, al final del ejercicio del estado de flujos de efectivo, respecto a la composición del rubro de efectivo y equivalentes es como sigue:</w:t>
      </w:r>
    </w:p>
    <w:p w14:paraId="0245D3B9" w14:textId="77777777" w:rsidR="001C1E18" w:rsidRPr="00974726" w:rsidRDefault="001C1E18" w:rsidP="00974726">
      <w:pPr>
        <w:tabs>
          <w:tab w:val="left" w:pos="6690"/>
        </w:tabs>
        <w:jc w:val="both"/>
        <w:rPr>
          <w:rFonts w:eastAsia="Calibri" w:cs="Times New Roman"/>
          <w:iCs w:val="0"/>
          <w:szCs w:val="22"/>
          <w:lang w:val="es-MX" w:eastAsia="en-US"/>
        </w:rPr>
      </w:pPr>
    </w:p>
    <w:p w14:paraId="020FC170" w14:textId="77777777" w:rsidR="00974726" w:rsidRPr="00974726" w:rsidRDefault="00974726" w:rsidP="00974726">
      <w:pPr>
        <w:tabs>
          <w:tab w:val="left" w:pos="6840"/>
        </w:tabs>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54B40D10" wp14:editId="1A6604DE">
            <wp:extent cx="6019800" cy="225742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9800" cy="2257425"/>
                    </a:xfrm>
                    <a:prstGeom prst="rect">
                      <a:avLst/>
                    </a:prstGeom>
                    <a:noFill/>
                    <a:ln>
                      <a:noFill/>
                    </a:ln>
                  </pic:spPr>
                </pic:pic>
              </a:graphicData>
            </a:graphic>
          </wp:inline>
        </w:drawing>
      </w:r>
    </w:p>
    <w:p w14:paraId="317C8BCF"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120C50FD"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7D8BACD2" w14:textId="77777777" w:rsidR="00974726" w:rsidRPr="00974726" w:rsidRDefault="00974726" w:rsidP="00974726">
      <w:pPr>
        <w:jc w:val="both"/>
        <w:rPr>
          <w:rFonts w:eastAsia="Calibri"/>
          <w:b/>
          <w:bCs/>
          <w:iCs w:val="0"/>
        </w:rPr>
      </w:pPr>
      <w:r w:rsidRPr="00974726">
        <w:rPr>
          <w:rFonts w:eastAsia="Calibri"/>
          <w:b/>
          <w:bCs/>
          <w:iCs w:val="0"/>
        </w:rPr>
        <w:t>Adquisiciones de las actividades de inversión efectivamente pagadas</w:t>
      </w:r>
    </w:p>
    <w:p w14:paraId="7271F19B" w14:textId="77777777" w:rsidR="00974726" w:rsidRPr="00974726" w:rsidRDefault="00974726" w:rsidP="00974726">
      <w:pPr>
        <w:tabs>
          <w:tab w:val="left" w:pos="6840"/>
        </w:tabs>
        <w:jc w:val="both"/>
        <w:outlineLvl w:val="0"/>
        <w:rPr>
          <w:rFonts w:eastAsia="Calibri" w:cs="Times New Roman"/>
          <w:b/>
          <w:bCs/>
          <w:iCs w:val="0"/>
          <w:szCs w:val="22"/>
          <w:lang w:val="es-MX" w:eastAsia="en-US"/>
        </w:rPr>
      </w:pPr>
    </w:p>
    <w:p w14:paraId="184EAC8A" w14:textId="77777777" w:rsidR="00974726" w:rsidRPr="00974726" w:rsidRDefault="00974726" w:rsidP="00974726">
      <w:pPr>
        <w:tabs>
          <w:tab w:val="left" w:pos="6840"/>
        </w:tabs>
        <w:jc w:val="both"/>
        <w:outlineLvl w:val="0"/>
        <w:rPr>
          <w:rFonts w:eastAsia="Calibri" w:cs="Times New Roman"/>
          <w:bCs/>
          <w:iCs w:val="0"/>
          <w:szCs w:val="22"/>
          <w:lang w:val="es-MX" w:eastAsia="en-US"/>
        </w:rPr>
      </w:pPr>
      <w:r w:rsidRPr="00974726">
        <w:rPr>
          <w:rFonts w:eastAsia="Calibri" w:cs="Times New Roman"/>
          <w:bCs/>
          <w:iCs w:val="0"/>
          <w:szCs w:val="22"/>
          <w:lang w:val="es-MX" w:eastAsia="en-US"/>
        </w:rPr>
        <w:t>Al 30 de junio de 2024, se realizaron adquisiciones de las actividades de inversión efectivamente pagadas, respecto al apartado de aplicación, mismas que a continuación se describen:</w:t>
      </w:r>
    </w:p>
    <w:p w14:paraId="1D3DECE5"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6BB5E0F5" w14:textId="77777777" w:rsidR="00974726" w:rsidRPr="00974726" w:rsidRDefault="00974726" w:rsidP="00974726">
      <w:pPr>
        <w:tabs>
          <w:tab w:val="left" w:pos="6840"/>
        </w:tabs>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56D57B42" wp14:editId="56E67F2C">
            <wp:extent cx="6019800" cy="2943225"/>
            <wp:effectExtent l="0" t="0" r="0" b="0"/>
            <wp:docPr id="1846405760" name="Imagen 18464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9800" cy="2943225"/>
                    </a:xfrm>
                    <a:prstGeom prst="rect">
                      <a:avLst/>
                    </a:prstGeom>
                    <a:noFill/>
                    <a:ln>
                      <a:noFill/>
                    </a:ln>
                  </pic:spPr>
                </pic:pic>
              </a:graphicData>
            </a:graphic>
          </wp:inline>
        </w:drawing>
      </w:r>
    </w:p>
    <w:p w14:paraId="3B841A0E"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4DAE7E34" w14:textId="77777777" w:rsidR="00974726" w:rsidRPr="00974726" w:rsidRDefault="00974726" w:rsidP="00974726">
      <w:pPr>
        <w:jc w:val="both"/>
        <w:rPr>
          <w:rFonts w:eastAsia="Calibri"/>
          <w:b/>
          <w:bCs/>
          <w:iCs w:val="0"/>
        </w:rPr>
      </w:pPr>
      <w:bookmarkStart w:id="5" w:name="_GoBack"/>
      <w:bookmarkEnd w:id="5"/>
      <w:r w:rsidRPr="00974726">
        <w:rPr>
          <w:rFonts w:eastAsia="Calibri"/>
          <w:b/>
          <w:bCs/>
          <w:iCs w:val="0"/>
        </w:rPr>
        <w:lastRenderedPageBreak/>
        <w:t>Conciliación de flujos de efectivo netos</w:t>
      </w:r>
    </w:p>
    <w:p w14:paraId="3A2C693B" w14:textId="77777777" w:rsidR="00974726" w:rsidRPr="00974726" w:rsidRDefault="00974726" w:rsidP="00974726">
      <w:pPr>
        <w:tabs>
          <w:tab w:val="left" w:pos="6840"/>
        </w:tabs>
        <w:jc w:val="both"/>
        <w:outlineLvl w:val="0"/>
        <w:rPr>
          <w:rFonts w:eastAsia="Calibri" w:cs="Times New Roman"/>
          <w:iCs w:val="0"/>
          <w:szCs w:val="22"/>
          <w:lang w:val="es-MX" w:eastAsia="en-US"/>
        </w:rPr>
      </w:pPr>
    </w:p>
    <w:p w14:paraId="54CDDC31" w14:textId="77777777" w:rsidR="00974726" w:rsidRPr="00974726" w:rsidRDefault="00974726" w:rsidP="00974726">
      <w:pPr>
        <w:tabs>
          <w:tab w:val="left" w:pos="6840"/>
        </w:tabs>
        <w:jc w:val="both"/>
        <w:outlineLvl w:val="0"/>
        <w:rPr>
          <w:rFonts w:eastAsia="Calibri" w:cs="Times New Roman"/>
          <w:iCs w:val="0"/>
          <w:szCs w:val="22"/>
          <w:lang w:val="es-MX" w:eastAsia="en-US"/>
        </w:rPr>
      </w:pPr>
      <w:r w:rsidRPr="00974726">
        <w:rPr>
          <w:rFonts w:eastAsia="Calibri" w:cs="Times New Roman"/>
          <w:iCs w:val="0"/>
          <w:szCs w:val="22"/>
          <w:lang w:val="es-MX" w:eastAsia="en-US"/>
        </w:rPr>
        <w:t>A continuación, se presenta la conciliación de los flujos de efectivo netos de las actividades de operación y los saldos de resultados del ejercicio (ahorro/desahorro):</w:t>
      </w:r>
    </w:p>
    <w:p w14:paraId="788522E2" w14:textId="77777777" w:rsidR="00974726" w:rsidRPr="00974726" w:rsidRDefault="00974726" w:rsidP="00974726">
      <w:pPr>
        <w:tabs>
          <w:tab w:val="left" w:pos="6840"/>
        </w:tabs>
        <w:jc w:val="center"/>
        <w:outlineLvl w:val="0"/>
        <w:rPr>
          <w:rFonts w:eastAsia="Calibri" w:cs="Times New Roman"/>
          <w:iCs w:val="0"/>
          <w:szCs w:val="22"/>
          <w:lang w:val="es-MX" w:eastAsia="en-US"/>
        </w:rPr>
      </w:pPr>
    </w:p>
    <w:p w14:paraId="26982533" w14:textId="77777777" w:rsidR="00974726" w:rsidRPr="00974726" w:rsidRDefault="00974726" w:rsidP="00974726">
      <w:pPr>
        <w:tabs>
          <w:tab w:val="left" w:pos="6840"/>
        </w:tabs>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63A99FE9" wp14:editId="7D68A12E">
            <wp:extent cx="6019800" cy="1819275"/>
            <wp:effectExtent l="0" t="0" r="0" b="0"/>
            <wp:docPr id="1846405761" name="Imagen 184640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9800" cy="1819275"/>
                    </a:xfrm>
                    <a:prstGeom prst="rect">
                      <a:avLst/>
                    </a:prstGeom>
                    <a:noFill/>
                    <a:ln>
                      <a:noFill/>
                    </a:ln>
                  </pic:spPr>
                </pic:pic>
              </a:graphicData>
            </a:graphic>
          </wp:inline>
        </w:drawing>
      </w:r>
    </w:p>
    <w:p w14:paraId="35D7DAFD" w14:textId="77777777" w:rsidR="00974726" w:rsidRPr="00974726" w:rsidRDefault="00974726" w:rsidP="00974726">
      <w:pPr>
        <w:jc w:val="both"/>
        <w:rPr>
          <w:rFonts w:eastAsia="Calibri" w:cs="Times New Roman"/>
          <w:b/>
          <w:bCs/>
          <w:iCs w:val="0"/>
          <w:caps/>
          <w:szCs w:val="22"/>
          <w:u w:val="single"/>
          <w:lang w:val="es-MX" w:eastAsia="en-US"/>
        </w:rPr>
      </w:pPr>
    </w:p>
    <w:p w14:paraId="34F8DDFF" w14:textId="77777777" w:rsidR="00974726" w:rsidRPr="00974726" w:rsidRDefault="00974726" w:rsidP="00974726">
      <w:pPr>
        <w:jc w:val="both"/>
        <w:rPr>
          <w:rFonts w:eastAsia="Calibri" w:cs="Times New Roman"/>
          <w:b/>
          <w:bCs/>
          <w:iCs w:val="0"/>
          <w:caps/>
          <w:szCs w:val="22"/>
          <w:u w:val="single"/>
          <w:lang w:val="es-MX" w:eastAsia="en-US"/>
        </w:rPr>
      </w:pPr>
    </w:p>
    <w:p w14:paraId="4A69616B" w14:textId="77777777" w:rsidR="00974726" w:rsidRPr="00974726" w:rsidRDefault="00974726" w:rsidP="00974726">
      <w:pPr>
        <w:jc w:val="both"/>
        <w:rPr>
          <w:rFonts w:eastAsia="Calibri"/>
          <w:b/>
          <w:bCs/>
          <w:iCs w:val="0"/>
        </w:rPr>
      </w:pPr>
      <w:r w:rsidRPr="00974726">
        <w:rPr>
          <w:rFonts w:eastAsia="Calibri"/>
          <w:b/>
          <w:bCs/>
          <w:iCs w:val="0"/>
        </w:rPr>
        <w:t>Conciliación entre los ingresos presupuestarios y contables, así como entre los egresos presupuestarios y los gastos contables</w:t>
      </w:r>
    </w:p>
    <w:p w14:paraId="47CB2149" w14:textId="77777777" w:rsidR="00974726" w:rsidRPr="00974726" w:rsidRDefault="00974726" w:rsidP="00974726">
      <w:pPr>
        <w:jc w:val="both"/>
        <w:rPr>
          <w:rFonts w:eastAsia="Calibri"/>
          <w:b/>
          <w:bCs/>
          <w:iCs w:val="0"/>
        </w:rPr>
      </w:pPr>
    </w:p>
    <w:p w14:paraId="56C8B812" w14:textId="77777777" w:rsidR="00974726" w:rsidRPr="00974726" w:rsidRDefault="00974726" w:rsidP="00974726">
      <w:pPr>
        <w:jc w:val="both"/>
        <w:rPr>
          <w:rFonts w:eastAsia="Calibri" w:cs="Times New Roman"/>
          <w:iCs w:val="0"/>
          <w:lang w:val="es-MX" w:eastAsia="es-MX"/>
        </w:rPr>
      </w:pPr>
      <w:r w:rsidRPr="00974726">
        <w:rPr>
          <w:rFonts w:eastAsia="Calibri" w:cs="Times New Roman"/>
          <w:iCs w:val="0"/>
          <w:lang w:val="es-MX"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Judicial, correspondiente del 1 de enero al 30 de junio de 2024.</w:t>
      </w:r>
    </w:p>
    <w:p w14:paraId="6D4A8079" w14:textId="77777777" w:rsidR="00974726" w:rsidRPr="00974726" w:rsidRDefault="00974726" w:rsidP="00974726">
      <w:pPr>
        <w:jc w:val="center"/>
        <w:outlineLvl w:val="0"/>
        <w:rPr>
          <w:rFonts w:eastAsia="Calibri" w:cs="Times New Roman"/>
          <w:iCs w:val="0"/>
          <w:szCs w:val="22"/>
          <w:lang w:val="es-MX" w:eastAsia="en-US"/>
        </w:rPr>
      </w:pPr>
    </w:p>
    <w:p w14:paraId="5E2F9E69"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31FC655C" wp14:editId="3AC959CE">
            <wp:extent cx="6403975" cy="3582035"/>
            <wp:effectExtent l="0" t="0" r="0" b="0"/>
            <wp:docPr id="1846405762" name="Imagen 184640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3975" cy="3582035"/>
                    </a:xfrm>
                    <a:prstGeom prst="rect">
                      <a:avLst/>
                    </a:prstGeom>
                    <a:noFill/>
                    <a:ln>
                      <a:noFill/>
                    </a:ln>
                  </pic:spPr>
                </pic:pic>
              </a:graphicData>
            </a:graphic>
          </wp:inline>
        </w:drawing>
      </w:r>
    </w:p>
    <w:p w14:paraId="63DD171B" w14:textId="77777777" w:rsidR="00974726" w:rsidRPr="00974726" w:rsidRDefault="00974726" w:rsidP="00974726">
      <w:pPr>
        <w:jc w:val="center"/>
        <w:outlineLvl w:val="0"/>
        <w:rPr>
          <w:rFonts w:eastAsia="Calibri" w:cs="Times New Roman"/>
          <w:iCs w:val="0"/>
          <w:noProof/>
          <w:szCs w:val="22"/>
          <w:lang w:val="es-MX" w:eastAsia="es-MX"/>
        </w:rPr>
      </w:pPr>
    </w:p>
    <w:p w14:paraId="33CC5567" w14:textId="77777777" w:rsidR="00974726" w:rsidRPr="00974726" w:rsidRDefault="00974726" w:rsidP="00974726">
      <w:pPr>
        <w:jc w:val="center"/>
        <w:outlineLvl w:val="0"/>
        <w:rPr>
          <w:rFonts w:eastAsia="Calibri" w:cs="Times New Roman"/>
          <w:iCs w:val="0"/>
          <w:noProof/>
          <w:szCs w:val="22"/>
          <w:lang w:val="es-MX" w:eastAsia="es-MX"/>
        </w:rPr>
      </w:pPr>
    </w:p>
    <w:p w14:paraId="40F52E27" w14:textId="77777777" w:rsidR="00974726" w:rsidRPr="00974726" w:rsidRDefault="00974726" w:rsidP="00974726">
      <w:pPr>
        <w:jc w:val="center"/>
        <w:outlineLvl w:val="0"/>
        <w:rPr>
          <w:rFonts w:eastAsia="Calibri" w:cs="Times New Roman"/>
          <w:iCs w:val="0"/>
          <w:noProof/>
          <w:szCs w:val="22"/>
          <w:lang w:val="es-MX" w:eastAsia="es-MX"/>
        </w:rPr>
      </w:pPr>
    </w:p>
    <w:p w14:paraId="18F870ED"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59871671" wp14:editId="2E74C864">
            <wp:extent cx="6403975" cy="6115685"/>
            <wp:effectExtent l="0" t="0" r="0" b="0"/>
            <wp:docPr id="1846405769" name="Imagen 184640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3975" cy="6115685"/>
                    </a:xfrm>
                    <a:prstGeom prst="rect">
                      <a:avLst/>
                    </a:prstGeom>
                    <a:noFill/>
                    <a:ln>
                      <a:noFill/>
                    </a:ln>
                  </pic:spPr>
                </pic:pic>
              </a:graphicData>
            </a:graphic>
          </wp:inline>
        </w:drawing>
      </w:r>
    </w:p>
    <w:p w14:paraId="0E10F703" w14:textId="77777777" w:rsidR="00974726" w:rsidRPr="00974726" w:rsidRDefault="00974726" w:rsidP="00974726">
      <w:pPr>
        <w:jc w:val="both"/>
        <w:rPr>
          <w:rFonts w:eastAsia="Calibri" w:cs="Times New Roman"/>
          <w:iCs w:val="0"/>
          <w:szCs w:val="22"/>
          <w:lang w:val="es-MX" w:eastAsia="es-MX"/>
        </w:rPr>
      </w:pPr>
    </w:p>
    <w:p w14:paraId="3BE0E96F" w14:textId="77777777" w:rsidR="00974726" w:rsidRPr="00974726" w:rsidRDefault="00974726" w:rsidP="00974726">
      <w:pPr>
        <w:jc w:val="both"/>
        <w:rPr>
          <w:rFonts w:eastAsia="Calibri" w:cs="Times New Roman"/>
          <w:iCs w:val="0"/>
          <w:szCs w:val="22"/>
          <w:lang w:val="es-MX" w:eastAsia="es-MX"/>
        </w:rPr>
      </w:pPr>
    </w:p>
    <w:p w14:paraId="3E681BC5" w14:textId="77777777" w:rsidR="00974726" w:rsidRPr="00974726" w:rsidRDefault="00974726" w:rsidP="00974726">
      <w:pPr>
        <w:jc w:val="both"/>
        <w:rPr>
          <w:b/>
          <w:bCs/>
          <w:iCs w:val="0"/>
          <w:sz w:val="24"/>
          <w:szCs w:val="24"/>
        </w:rPr>
      </w:pPr>
      <w:r w:rsidRPr="00974726">
        <w:rPr>
          <w:b/>
          <w:bCs/>
          <w:iCs w:val="0"/>
          <w:sz w:val="24"/>
          <w:szCs w:val="24"/>
        </w:rPr>
        <w:t xml:space="preserve">Notas de memoria (cuentas de orden) </w:t>
      </w:r>
    </w:p>
    <w:p w14:paraId="3AFE233E" w14:textId="77777777" w:rsidR="00974726" w:rsidRPr="00974726" w:rsidRDefault="00974726" w:rsidP="00974726">
      <w:pPr>
        <w:jc w:val="both"/>
        <w:outlineLvl w:val="0"/>
        <w:rPr>
          <w:rFonts w:eastAsia="Calibri" w:cs="Times New Roman"/>
          <w:b/>
          <w:bCs/>
          <w:iCs w:val="0"/>
          <w:szCs w:val="22"/>
          <w:lang w:val="es-MX" w:eastAsia="en-US"/>
        </w:rPr>
      </w:pPr>
    </w:p>
    <w:p w14:paraId="429AD0B9"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484622D2" w14:textId="77777777" w:rsidR="00974726" w:rsidRPr="00974726" w:rsidRDefault="00974726" w:rsidP="00974726">
      <w:pPr>
        <w:jc w:val="both"/>
        <w:outlineLvl w:val="0"/>
        <w:rPr>
          <w:rFonts w:eastAsia="Calibri" w:cs="Times New Roman"/>
          <w:iCs w:val="0"/>
          <w:szCs w:val="22"/>
          <w:lang w:val="es-MX" w:eastAsia="en-US"/>
        </w:rPr>
      </w:pPr>
    </w:p>
    <w:p w14:paraId="45B2B56B" w14:textId="77777777" w:rsidR="00974726" w:rsidRPr="00974726" w:rsidRDefault="00974726" w:rsidP="00974726">
      <w:pPr>
        <w:jc w:val="both"/>
        <w:rPr>
          <w:rFonts w:eastAsia="Calibri"/>
          <w:b/>
          <w:bCs/>
          <w:iCs w:val="0"/>
          <w:caps/>
        </w:rPr>
      </w:pPr>
      <w:r w:rsidRPr="00974726">
        <w:rPr>
          <w:rFonts w:eastAsia="Calibri"/>
          <w:b/>
          <w:bCs/>
          <w:iCs w:val="0"/>
        </w:rPr>
        <w:t>Cuentas de orden contables</w:t>
      </w:r>
    </w:p>
    <w:p w14:paraId="73E6AF9F" w14:textId="77777777" w:rsidR="00974726" w:rsidRPr="00974726" w:rsidRDefault="00974726" w:rsidP="00974726">
      <w:pPr>
        <w:jc w:val="both"/>
        <w:rPr>
          <w:rFonts w:eastAsia="Calibri"/>
          <w:b/>
          <w:bCs/>
          <w:iCs w:val="0"/>
        </w:rPr>
      </w:pPr>
    </w:p>
    <w:p w14:paraId="73EC5A39" w14:textId="77777777" w:rsidR="00974726" w:rsidRPr="00974726" w:rsidRDefault="00974726" w:rsidP="00974726">
      <w:pPr>
        <w:jc w:val="both"/>
        <w:rPr>
          <w:rFonts w:eastAsia="Calibri"/>
          <w:b/>
          <w:bCs/>
          <w:iCs w:val="0"/>
        </w:rPr>
      </w:pPr>
      <w:r w:rsidRPr="00974726">
        <w:rPr>
          <w:rFonts w:eastAsia="Calibri"/>
          <w:b/>
          <w:bCs/>
          <w:iCs w:val="0"/>
        </w:rPr>
        <w:t xml:space="preserve">Avales y garantías </w:t>
      </w:r>
    </w:p>
    <w:p w14:paraId="4D4E3976" w14:textId="77777777" w:rsidR="00974726" w:rsidRPr="00974726" w:rsidRDefault="00974726" w:rsidP="00974726">
      <w:pPr>
        <w:jc w:val="both"/>
        <w:outlineLvl w:val="0"/>
        <w:rPr>
          <w:rFonts w:eastAsia="Calibri" w:cs="Times New Roman"/>
          <w:b/>
          <w:bCs/>
          <w:i/>
          <w:szCs w:val="22"/>
          <w:lang w:val="es-MX" w:eastAsia="en-US"/>
        </w:rPr>
      </w:pPr>
    </w:p>
    <w:p w14:paraId="4CFF4E57"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Los avales y garantías derivado de la prestación de servicios que realizan los proveedores al Poder Judicial, ascienden a $ 83,394,145 pesos, al 30 de junio del 2024.</w:t>
      </w:r>
    </w:p>
    <w:p w14:paraId="796D3DB6"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6EE574B6" w14:textId="77777777" w:rsidR="00974726" w:rsidRPr="00974726" w:rsidRDefault="00974726" w:rsidP="00974726">
      <w:pPr>
        <w:autoSpaceDE w:val="0"/>
        <w:autoSpaceDN w:val="0"/>
        <w:adjustRightInd w:val="0"/>
        <w:jc w:val="center"/>
        <w:rPr>
          <w:rFonts w:eastAsia="Calibri" w:cs="Times New Roman"/>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513867EA" wp14:editId="7BF74FB3">
            <wp:extent cx="6403975" cy="1640205"/>
            <wp:effectExtent l="0" t="0" r="0" b="0"/>
            <wp:docPr id="1846405770" name="Imagen 184640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3975" cy="1640205"/>
                    </a:xfrm>
                    <a:prstGeom prst="rect">
                      <a:avLst/>
                    </a:prstGeom>
                    <a:noFill/>
                    <a:ln>
                      <a:noFill/>
                    </a:ln>
                  </pic:spPr>
                </pic:pic>
              </a:graphicData>
            </a:graphic>
          </wp:inline>
        </w:drawing>
      </w:r>
    </w:p>
    <w:p w14:paraId="73BB6539"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727265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33F650A3" w14:textId="77777777" w:rsidR="00974726" w:rsidRPr="00974726" w:rsidRDefault="00974726" w:rsidP="00974726">
      <w:pPr>
        <w:jc w:val="both"/>
        <w:rPr>
          <w:rFonts w:eastAsia="Calibri"/>
          <w:b/>
          <w:bCs/>
          <w:iCs w:val="0"/>
        </w:rPr>
      </w:pPr>
      <w:r w:rsidRPr="00974726">
        <w:rPr>
          <w:rFonts w:eastAsia="Calibri"/>
          <w:b/>
          <w:bCs/>
          <w:iCs w:val="0"/>
        </w:rPr>
        <w:t xml:space="preserve">Bienes en concesionados o en comodato </w:t>
      </w:r>
    </w:p>
    <w:p w14:paraId="0B805B41" w14:textId="77777777" w:rsidR="00974726" w:rsidRPr="00974726" w:rsidRDefault="00974726" w:rsidP="00974726">
      <w:pPr>
        <w:jc w:val="both"/>
        <w:outlineLvl w:val="0"/>
        <w:rPr>
          <w:rFonts w:eastAsia="Calibri" w:cs="Times New Roman"/>
          <w:b/>
          <w:bCs/>
          <w:i/>
          <w:szCs w:val="22"/>
          <w:lang w:val="es-MX" w:eastAsia="en-US"/>
        </w:rPr>
      </w:pPr>
    </w:p>
    <w:p w14:paraId="56397E8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Los bienes en concesionados o en comodato ascienden a $ 637,990 pesos al 30 de junio de 2024 y representan los bienes muebles otorgados entre dependencias o entes públicos tales como vehículos y equipo de transporte del Poder Judicial.</w:t>
      </w:r>
    </w:p>
    <w:p w14:paraId="76B766B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4ED6A3A" w14:textId="77777777" w:rsidR="00974726" w:rsidRPr="00974726" w:rsidRDefault="00974726" w:rsidP="00974726">
      <w:pPr>
        <w:autoSpaceDE w:val="0"/>
        <w:autoSpaceDN w:val="0"/>
        <w:adjustRightInd w:val="0"/>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59B9821B" wp14:editId="3CC13E38">
            <wp:extent cx="6403975" cy="1595120"/>
            <wp:effectExtent l="0" t="0" r="0" b="0"/>
            <wp:docPr id="1846405774" name="Imagen 184640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3975" cy="1595120"/>
                    </a:xfrm>
                    <a:prstGeom prst="rect">
                      <a:avLst/>
                    </a:prstGeom>
                    <a:noFill/>
                    <a:ln>
                      <a:noFill/>
                    </a:ln>
                  </pic:spPr>
                </pic:pic>
              </a:graphicData>
            </a:graphic>
          </wp:inline>
        </w:drawing>
      </w:r>
    </w:p>
    <w:p w14:paraId="53111FCA"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52FD77CD"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60E9D122" w14:textId="77777777" w:rsidR="00974726" w:rsidRPr="00974726" w:rsidRDefault="00974726" w:rsidP="00974726">
      <w:pPr>
        <w:jc w:val="both"/>
        <w:rPr>
          <w:rFonts w:eastAsia="Calibri"/>
          <w:b/>
          <w:bCs/>
          <w:iCs w:val="0"/>
        </w:rPr>
      </w:pPr>
      <w:r w:rsidRPr="00974726">
        <w:rPr>
          <w:rFonts w:eastAsia="Calibri"/>
          <w:b/>
          <w:bCs/>
          <w:iCs w:val="0"/>
        </w:rPr>
        <w:t>Cuentas de orden presupuestarias</w:t>
      </w:r>
    </w:p>
    <w:p w14:paraId="0508E125" w14:textId="77777777" w:rsidR="00974726" w:rsidRPr="00974726" w:rsidRDefault="00974726" w:rsidP="00974726">
      <w:pPr>
        <w:jc w:val="both"/>
        <w:rPr>
          <w:rFonts w:eastAsia="Calibri"/>
          <w:b/>
          <w:bCs/>
          <w:iCs w:val="0"/>
        </w:rPr>
      </w:pPr>
    </w:p>
    <w:p w14:paraId="40B1E91C" w14:textId="77777777" w:rsidR="00974726" w:rsidRPr="00974726" w:rsidRDefault="00974726" w:rsidP="00974726">
      <w:pPr>
        <w:jc w:val="both"/>
        <w:rPr>
          <w:rFonts w:eastAsia="Calibri"/>
          <w:b/>
          <w:bCs/>
          <w:iCs w:val="0"/>
        </w:rPr>
      </w:pPr>
      <w:r w:rsidRPr="00974726">
        <w:rPr>
          <w:rFonts w:eastAsia="Calibri"/>
          <w:b/>
          <w:bCs/>
          <w:iCs w:val="0"/>
        </w:rPr>
        <w:t>Cuentas de ingresos</w:t>
      </w:r>
    </w:p>
    <w:p w14:paraId="0448B882" w14:textId="77777777" w:rsidR="00974726" w:rsidRPr="00974726" w:rsidRDefault="00974726" w:rsidP="00974726">
      <w:pPr>
        <w:autoSpaceDE w:val="0"/>
        <w:autoSpaceDN w:val="0"/>
        <w:adjustRightInd w:val="0"/>
        <w:jc w:val="both"/>
        <w:rPr>
          <w:rFonts w:eastAsia="Calibri" w:cs="Times New Roman"/>
          <w:b/>
          <w:i/>
          <w:iCs w:val="0"/>
          <w:szCs w:val="22"/>
          <w:lang w:val="es-MX" w:eastAsia="en-US"/>
        </w:rPr>
      </w:pPr>
    </w:p>
    <w:p w14:paraId="74DB04D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Al inicio del ejercicio 2024, se aprobó un presupuesto de ingresos de $ 1,257,586,100 pesos, sin embargo, las estrategias implementadas para obtener mayores recursos, lograron un incremento de $ 78,297,118 pesos al presupuesto estimado para el periodo que se informa.</w:t>
      </w:r>
    </w:p>
    <w:p w14:paraId="11551C4C"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092B5D04"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Los ingresos recaudados durante el periodo del 1 de enero al 30 de junio de 2024 ascendieron a la cantidad de $ 522,473,469 pesos, representando un avance del 41.5 %, respecto al programado para el periodo que se informa. </w:t>
      </w:r>
    </w:p>
    <w:p w14:paraId="5F9C07EA"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FE89550" w14:textId="77777777"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Los ingresos derivados de recursos provenientes del Gobierno Federal representaron el 100 % del total de los ingresos recaudados, con un importe de $ 522,473,469 pesos, por concepto de transferencias, asignaciones, subsidios y subvenciones, y pensiones y jubilaciones.</w:t>
      </w:r>
    </w:p>
    <w:p w14:paraId="18B52131"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77C7037A" w14:textId="60C76BE5" w:rsidR="00974726" w:rsidRPr="00974726" w:rsidRDefault="00974726" w:rsidP="00974726">
      <w:pPr>
        <w:autoSpaceDE w:val="0"/>
        <w:autoSpaceDN w:val="0"/>
        <w:adjustRightInd w:val="0"/>
        <w:jc w:val="both"/>
        <w:rPr>
          <w:rFonts w:eastAsia="Calibri" w:cs="Times New Roman"/>
          <w:iCs w:val="0"/>
          <w:szCs w:val="22"/>
          <w:lang w:val="es-MX" w:eastAsia="en-US"/>
        </w:rPr>
      </w:pPr>
      <w:r w:rsidRPr="00974726">
        <w:rPr>
          <w:rFonts w:eastAsia="Calibri" w:cs="Times New Roman"/>
          <w:iCs w:val="0"/>
          <w:szCs w:val="22"/>
          <w:lang w:val="es-MX" w:eastAsia="en-US"/>
        </w:rPr>
        <w:t xml:space="preserve">A continuación, se presenta el estado analítico de ingresos presupuestales de acuerdo con la clasificación indicada en las notas de memoria de los estados financieros emitidos por el </w:t>
      </w:r>
      <w:r w:rsidRPr="00974726">
        <w:rPr>
          <w:rFonts w:eastAsia="Calibri"/>
          <w:iCs w:val="0"/>
          <w:lang w:val="es-MX" w:eastAsia="en-US"/>
        </w:rPr>
        <w:t>Consejo Nacional de Armonización Contable</w:t>
      </w:r>
      <w:r w:rsidRPr="00974726">
        <w:rPr>
          <w:rFonts w:eastAsia="Calibri" w:cs="Times New Roman"/>
          <w:iCs w:val="0"/>
          <w:szCs w:val="22"/>
          <w:lang w:val="es-MX" w:eastAsia="en-US"/>
        </w:rPr>
        <w:t xml:space="preserve"> (</w:t>
      </w:r>
      <w:proofErr w:type="spellStart"/>
      <w:r w:rsidR="001C1E18">
        <w:rPr>
          <w:rFonts w:eastAsia="Calibri" w:cs="Times New Roman"/>
          <w:iCs w:val="0"/>
          <w:szCs w:val="22"/>
          <w:lang w:val="es-MX" w:eastAsia="en-US"/>
        </w:rPr>
        <w:t>Conac</w:t>
      </w:r>
      <w:proofErr w:type="spellEnd"/>
      <w:r w:rsidRPr="00974726">
        <w:rPr>
          <w:rFonts w:eastAsia="Calibri" w:cs="Times New Roman"/>
          <w:iCs w:val="0"/>
          <w:szCs w:val="22"/>
          <w:lang w:val="es-MX" w:eastAsia="en-US"/>
        </w:rPr>
        <w:t>).</w:t>
      </w:r>
    </w:p>
    <w:p w14:paraId="28DD65BE" w14:textId="77777777" w:rsidR="00974726" w:rsidRPr="00974726" w:rsidRDefault="00974726" w:rsidP="00974726">
      <w:pPr>
        <w:autoSpaceDE w:val="0"/>
        <w:autoSpaceDN w:val="0"/>
        <w:adjustRightInd w:val="0"/>
        <w:jc w:val="both"/>
        <w:rPr>
          <w:rFonts w:eastAsia="Calibri" w:cs="Times New Roman"/>
          <w:iCs w:val="0"/>
          <w:szCs w:val="22"/>
          <w:lang w:val="es-MX" w:eastAsia="en-US"/>
        </w:rPr>
      </w:pPr>
    </w:p>
    <w:p w14:paraId="5094FEC4"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5C7CC036" wp14:editId="38E6B79A">
            <wp:extent cx="6403975" cy="2357755"/>
            <wp:effectExtent l="0" t="0" r="0" b="0"/>
            <wp:docPr id="1846405782" name="Imagen 184640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3975" cy="2357755"/>
                    </a:xfrm>
                    <a:prstGeom prst="rect">
                      <a:avLst/>
                    </a:prstGeom>
                    <a:noFill/>
                    <a:ln>
                      <a:noFill/>
                    </a:ln>
                  </pic:spPr>
                </pic:pic>
              </a:graphicData>
            </a:graphic>
          </wp:inline>
        </w:drawing>
      </w:r>
    </w:p>
    <w:p w14:paraId="7EFE8FBF" w14:textId="77777777" w:rsidR="00974726" w:rsidRPr="00974726" w:rsidRDefault="00974726" w:rsidP="00974726">
      <w:pPr>
        <w:jc w:val="both"/>
        <w:outlineLvl w:val="0"/>
        <w:rPr>
          <w:rFonts w:eastAsia="Calibri" w:cs="Times New Roman"/>
          <w:b/>
          <w:bCs/>
          <w:i/>
          <w:szCs w:val="22"/>
          <w:lang w:val="es-MX" w:eastAsia="en-US"/>
        </w:rPr>
      </w:pPr>
    </w:p>
    <w:p w14:paraId="06DD9DD5" w14:textId="77777777" w:rsidR="00974726" w:rsidRPr="00974726" w:rsidRDefault="00974726" w:rsidP="00974726">
      <w:pPr>
        <w:jc w:val="both"/>
        <w:outlineLvl w:val="0"/>
        <w:rPr>
          <w:rFonts w:eastAsia="Calibri" w:cs="Times New Roman"/>
          <w:b/>
          <w:bCs/>
          <w:i/>
          <w:szCs w:val="22"/>
          <w:lang w:val="es-MX" w:eastAsia="en-US"/>
        </w:rPr>
      </w:pPr>
    </w:p>
    <w:p w14:paraId="7EFCA933" w14:textId="77777777" w:rsidR="00974726" w:rsidRPr="00974726" w:rsidRDefault="00974726" w:rsidP="00974726">
      <w:pPr>
        <w:jc w:val="both"/>
        <w:rPr>
          <w:rFonts w:eastAsia="Calibri"/>
          <w:b/>
          <w:bCs/>
          <w:iCs w:val="0"/>
        </w:rPr>
      </w:pPr>
      <w:r w:rsidRPr="00974726">
        <w:rPr>
          <w:rFonts w:eastAsia="Calibri"/>
          <w:b/>
          <w:bCs/>
          <w:iCs w:val="0"/>
        </w:rPr>
        <w:t>Cuentas de egresos</w:t>
      </w:r>
    </w:p>
    <w:p w14:paraId="3DF40BE7" w14:textId="77777777" w:rsidR="00974726" w:rsidRPr="00974726" w:rsidRDefault="00974726" w:rsidP="00974726">
      <w:pPr>
        <w:jc w:val="both"/>
        <w:outlineLvl w:val="0"/>
        <w:rPr>
          <w:rFonts w:eastAsia="Calibri" w:cs="Times New Roman"/>
          <w:iCs w:val="0"/>
          <w:szCs w:val="22"/>
          <w:lang w:val="es-MX" w:eastAsia="en-US"/>
        </w:rPr>
      </w:pPr>
    </w:p>
    <w:p w14:paraId="567978DB"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El estado del ejercicio del presupuesto de egresos del Poder Judicial del estado de Chiapas, refleja al 30 de junio del ejercicio 2024, una modificación neta positiva al presupuesto aprobado anual de $ 106,000,129 pesos representando el 8.4 % mayor, respecto al programado, llegando a un monto de $ 1,363,586,229 pesos.</w:t>
      </w:r>
    </w:p>
    <w:p w14:paraId="0D1E3E88" w14:textId="77777777" w:rsidR="00974726" w:rsidRPr="00974726" w:rsidRDefault="00974726" w:rsidP="00974726">
      <w:pPr>
        <w:jc w:val="both"/>
        <w:outlineLvl w:val="0"/>
        <w:rPr>
          <w:rFonts w:eastAsia="Calibri" w:cs="Times New Roman"/>
          <w:iCs w:val="0"/>
          <w:szCs w:val="22"/>
          <w:lang w:val="es-MX" w:eastAsia="en-US"/>
        </w:rPr>
      </w:pPr>
    </w:p>
    <w:p w14:paraId="5C519A22" w14:textId="77777777" w:rsidR="00974726" w:rsidRPr="00974726" w:rsidRDefault="00974726" w:rsidP="00974726">
      <w:pPr>
        <w:jc w:val="both"/>
        <w:outlineLvl w:val="0"/>
        <w:rPr>
          <w:rFonts w:eastAsia="Calibri" w:cs="Times New Roman"/>
          <w:iCs w:val="0"/>
          <w:szCs w:val="22"/>
          <w:lang w:val="es-MX" w:eastAsia="en-US"/>
        </w:rPr>
      </w:pPr>
      <w:r w:rsidRPr="00974726">
        <w:rPr>
          <w:rFonts w:eastAsia="Calibri" w:cs="Times New Roman"/>
          <w:iCs w:val="0"/>
          <w:szCs w:val="22"/>
          <w:lang w:val="es-MX" w:eastAsia="en-US"/>
        </w:rPr>
        <w:t xml:space="preserve">El presupuesto devengado a la fecha que se informa fue de $ 505,489,150 pesos, de los cuales se </w:t>
      </w:r>
      <w:proofErr w:type="gramStart"/>
      <w:r w:rsidRPr="00974726">
        <w:rPr>
          <w:rFonts w:eastAsia="Calibri" w:cs="Times New Roman"/>
          <w:iCs w:val="0"/>
          <w:szCs w:val="22"/>
          <w:lang w:val="es-MX" w:eastAsia="en-US"/>
        </w:rPr>
        <w:t>aplicaron  $</w:t>
      </w:r>
      <w:proofErr w:type="gramEnd"/>
      <w:r w:rsidRPr="00974726">
        <w:rPr>
          <w:rFonts w:eastAsia="Calibri" w:cs="Times New Roman"/>
          <w:iCs w:val="0"/>
          <w:szCs w:val="22"/>
          <w:lang w:val="es-MX" w:eastAsia="en-US"/>
        </w:rPr>
        <w:t xml:space="preserve"> 438,342,500 pesos a servicios personales, equivalente al 86.7 % del devengado total; en servicios generales, se destinaron $ 62,483,322 pesos, que equivale al 12.4 % del total devengado; así mismo en materiales y suministros se destinaron $ 4,506,490 pesos equivalente al 0.9 % del devengo total; entre los rubros más sobresalientes.</w:t>
      </w:r>
    </w:p>
    <w:p w14:paraId="4192E311" w14:textId="77777777" w:rsidR="00974726" w:rsidRPr="00974726" w:rsidRDefault="00974726" w:rsidP="00974726">
      <w:pPr>
        <w:jc w:val="both"/>
        <w:outlineLvl w:val="0"/>
        <w:rPr>
          <w:rFonts w:eastAsia="Calibri" w:cs="Times New Roman"/>
          <w:iCs w:val="0"/>
          <w:szCs w:val="22"/>
          <w:lang w:val="es-MX" w:eastAsia="en-US"/>
        </w:rPr>
      </w:pPr>
    </w:p>
    <w:p w14:paraId="3B1DDF6A"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061E5C93" wp14:editId="55D22DC5">
            <wp:extent cx="6403975" cy="2503170"/>
            <wp:effectExtent l="0" t="0" r="0" b="0"/>
            <wp:docPr id="1846405783" name="Imagen 184640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3975" cy="2503170"/>
                    </a:xfrm>
                    <a:prstGeom prst="rect">
                      <a:avLst/>
                    </a:prstGeom>
                    <a:noFill/>
                    <a:ln>
                      <a:noFill/>
                    </a:ln>
                  </pic:spPr>
                </pic:pic>
              </a:graphicData>
            </a:graphic>
          </wp:inline>
        </w:drawing>
      </w:r>
    </w:p>
    <w:p w14:paraId="0410AFFE" w14:textId="77777777" w:rsidR="00974726" w:rsidRPr="00974726" w:rsidRDefault="00974726" w:rsidP="00974726">
      <w:pPr>
        <w:jc w:val="both"/>
        <w:outlineLvl w:val="0"/>
        <w:rPr>
          <w:rFonts w:eastAsia="Calibri" w:cs="Times New Roman"/>
          <w:iCs w:val="0"/>
          <w:szCs w:val="22"/>
          <w:lang w:val="es-MX" w:eastAsia="en-US"/>
        </w:rPr>
      </w:pPr>
    </w:p>
    <w:p w14:paraId="0F3C4585" w14:textId="77777777" w:rsidR="00974726" w:rsidRPr="00974726" w:rsidRDefault="00974726" w:rsidP="00974726">
      <w:pPr>
        <w:spacing w:after="160" w:line="259" w:lineRule="auto"/>
        <w:jc w:val="both"/>
        <w:rPr>
          <w:rFonts w:eastAsia="Calibri" w:cs="Times New Roman"/>
          <w:iCs w:val="0"/>
          <w:szCs w:val="22"/>
          <w:lang w:val="es-MX" w:eastAsia="en-US"/>
        </w:rPr>
      </w:pPr>
      <w:r w:rsidRPr="00974726">
        <w:rPr>
          <w:rFonts w:eastAsia="Calibri" w:cs="Times New Roman"/>
          <w:iCs w:val="0"/>
          <w:szCs w:val="22"/>
          <w:lang w:val="es-MX" w:eastAsia="en-US"/>
        </w:rPr>
        <w:br w:type="page"/>
      </w:r>
    </w:p>
    <w:p w14:paraId="1643B32B" w14:textId="77777777" w:rsidR="00974726" w:rsidRPr="00974726" w:rsidRDefault="00974726" w:rsidP="00974726">
      <w:pPr>
        <w:jc w:val="both"/>
        <w:rPr>
          <w:rFonts w:eastAsia="Calibri"/>
          <w:b/>
          <w:bCs/>
        </w:rPr>
      </w:pPr>
      <w:bookmarkStart w:id="6" w:name="_Hlk125467774"/>
      <w:r w:rsidRPr="00974726">
        <w:rPr>
          <w:rFonts w:eastAsia="Calibri"/>
          <w:b/>
          <w:bCs/>
          <w:iCs w:val="0"/>
        </w:rPr>
        <w:lastRenderedPageBreak/>
        <w:t>Razones financieras</w:t>
      </w:r>
    </w:p>
    <w:p w14:paraId="3E3D46C6" w14:textId="77777777" w:rsidR="00974726" w:rsidRPr="00974726" w:rsidRDefault="00974726" w:rsidP="00974726">
      <w:pPr>
        <w:tabs>
          <w:tab w:val="left" w:pos="5280"/>
        </w:tabs>
        <w:jc w:val="both"/>
        <w:rPr>
          <w:rFonts w:eastAsia="Calibri"/>
          <w:iCs w:val="0"/>
          <w:lang w:val="es-MX" w:eastAsia="en-US"/>
        </w:rPr>
      </w:pPr>
    </w:p>
    <w:bookmarkEnd w:id="6"/>
    <w:p w14:paraId="4FD0DEB7" w14:textId="77777777" w:rsidR="00974726" w:rsidRPr="00974726" w:rsidRDefault="00974726" w:rsidP="00974726">
      <w:pPr>
        <w:jc w:val="both"/>
        <w:rPr>
          <w:rFonts w:eastAsia="Calibri" w:cs="Times New Roman"/>
          <w:iCs w:val="0"/>
          <w:szCs w:val="22"/>
          <w:lang w:val="es-MX" w:eastAsia="en-US"/>
        </w:rPr>
      </w:pPr>
      <w:r w:rsidRPr="00974726">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AFCE295" w14:textId="77777777" w:rsidR="00974726" w:rsidRPr="00974726" w:rsidRDefault="00974726" w:rsidP="00974726">
      <w:pPr>
        <w:tabs>
          <w:tab w:val="left" w:pos="5280"/>
        </w:tabs>
        <w:jc w:val="both"/>
        <w:rPr>
          <w:rFonts w:eastAsia="Calibri" w:cs="Times New Roman"/>
          <w:iCs w:val="0"/>
          <w:szCs w:val="22"/>
          <w:lang w:val="es-MX" w:eastAsia="en-US"/>
        </w:rPr>
      </w:pPr>
    </w:p>
    <w:p w14:paraId="728D2845"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A los resultados obtenidos al 30 de junio del 2024, se aplicaron las siguientes razones financieras:</w:t>
      </w:r>
    </w:p>
    <w:p w14:paraId="2C4EDD79" w14:textId="77777777" w:rsidR="00974726" w:rsidRPr="00974726" w:rsidRDefault="00974726" w:rsidP="00974726">
      <w:pPr>
        <w:tabs>
          <w:tab w:val="left" w:pos="5280"/>
        </w:tabs>
        <w:jc w:val="both"/>
        <w:rPr>
          <w:rFonts w:eastAsia="Calibri" w:cs="Times New Roman"/>
          <w:iCs w:val="0"/>
          <w:szCs w:val="22"/>
          <w:lang w:val="es-MX" w:eastAsia="en-US"/>
        </w:rPr>
      </w:pPr>
    </w:p>
    <w:p w14:paraId="68932EEA" w14:textId="77777777" w:rsidR="00974726" w:rsidRPr="00974726" w:rsidRDefault="00974726" w:rsidP="00974726">
      <w:pPr>
        <w:tabs>
          <w:tab w:val="left" w:pos="5729"/>
        </w:tabs>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7B32CB82" wp14:editId="66B63E79">
            <wp:extent cx="6403975" cy="2408555"/>
            <wp:effectExtent l="0" t="0" r="0" b="0"/>
            <wp:docPr id="1846405784" name="Imagen 184640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3975" cy="2408555"/>
                    </a:xfrm>
                    <a:prstGeom prst="rect">
                      <a:avLst/>
                    </a:prstGeom>
                    <a:noFill/>
                    <a:ln>
                      <a:noFill/>
                    </a:ln>
                  </pic:spPr>
                </pic:pic>
              </a:graphicData>
            </a:graphic>
          </wp:inline>
        </w:drawing>
      </w:r>
    </w:p>
    <w:p w14:paraId="717BBD8B" w14:textId="77777777" w:rsidR="00974726" w:rsidRPr="00974726" w:rsidRDefault="00974726" w:rsidP="00974726">
      <w:pPr>
        <w:tabs>
          <w:tab w:val="left" w:pos="5280"/>
        </w:tabs>
        <w:jc w:val="both"/>
        <w:rPr>
          <w:rFonts w:eastAsia="Calibri" w:cs="Times New Roman"/>
          <w:iCs w:val="0"/>
          <w:szCs w:val="22"/>
          <w:lang w:val="es-MX" w:eastAsia="en-US"/>
        </w:rPr>
      </w:pPr>
    </w:p>
    <w:p w14:paraId="332364F9" w14:textId="77777777" w:rsidR="00974726" w:rsidRPr="00974726" w:rsidRDefault="00974726" w:rsidP="00974726">
      <w:pPr>
        <w:tabs>
          <w:tab w:val="left" w:pos="5280"/>
        </w:tabs>
        <w:jc w:val="both"/>
        <w:rPr>
          <w:rFonts w:eastAsia="Calibri" w:cs="Times New Roman"/>
          <w:iCs w:val="0"/>
          <w:szCs w:val="22"/>
          <w:lang w:val="es-MX" w:eastAsia="en-US"/>
        </w:rPr>
      </w:pPr>
    </w:p>
    <w:p w14:paraId="6FE57873"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 xml:space="preserve">Los estados financieros muestran un resultado de $ 4.5 pesos de </w:t>
      </w:r>
      <w:r w:rsidRPr="00974726">
        <w:rPr>
          <w:rFonts w:eastAsia="Calibri" w:cs="Times New Roman"/>
          <w:b/>
          <w:iCs w:val="0"/>
          <w:szCs w:val="22"/>
          <w:lang w:val="es-MX" w:eastAsia="en-US"/>
        </w:rPr>
        <w:t>liquidez y disponibilidad inmediata</w:t>
      </w:r>
      <w:r w:rsidRPr="00974726">
        <w:rPr>
          <w:rFonts w:eastAsia="Calibri" w:cs="Times New Roman"/>
          <w:iCs w:val="0"/>
          <w:szCs w:val="22"/>
          <w:lang w:val="es-MX" w:eastAsia="en-US"/>
        </w:rPr>
        <w:t xml:space="preserve"> para hacer frente a cada peso de los compromisos de corto plazo.</w:t>
      </w:r>
    </w:p>
    <w:p w14:paraId="514AC55E" w14:textId="77777777" w:rsidR="00974726" w:rsidRPr="00974726" w:rsidRDefault="00974726" w:rsidP="00974726">
      <w:pPr>
        <w:tabs>
          <w:tab w:val="left" w:pos="5280"/>
        </w:tabs>
        <w:jc w:val="both"/>
        <w:rPr>
          <w:rFonts w:eastAsia="Calibri" w:cs="Times New Roman"/>
          <w:iCs w:val="0"/>
          <w:szCs w:val="22"/>
          <w:lang w:val="es-MX" w:eastAsia="en-US"/>
        </w:rPr>
      </w:pPr>
    </w:p>
    <w:p w14:paraId="3C828F13"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 xml:space="preserve">La razón de </w:t>
      </w:r>
      <w:r w:rsidRPr="00974726">
        <w:rPr>
          <w:rFonts w:eastAsia="Calibri" w:cs="Times New Roman"/>
          <w:b/>
          <w:bCs/>
          <w:iCs w:val="0"/>
          <w:szCs w:val="22"/>
          <w:lang w:val="es-MX" w:eastAsia="en-US"/>
        </w:rPr>
        <w:t>solvencia</w:t>
      </w:r>
      <w:r w:rsidRPr="00974726">
        <w:rPr>
          <w:rFonts w:eastAsia="Calibri" w:cs="Times New Roman"/>
          <w:iCs w:val="0"/>
          <w:szCs w:val="22"/>
          <w:lang w:val="es-MX" w:eastAsia="en-US"/>
        </w:rPr>
        <w:t xml:space="preserve"> muestra que el Poder Judicial cuenta con $ 4.5 pesos para cubrir cada peso que debe por sus compromisos a corto plazo.</w:t>
      </w:r>
    </w:p>
    <w:p w14:paraId="77B7A344" w14:textId="77777777" w:rsidR="00974726" w:rsidRPr="00974726" w:rsidRDefault="00974726" w:rsidP="00974726">
      <w:pPr>
        <w:tabs>
          <w:tab w:val="left" w:pos="5280"/>
        </w:tabs>
        <w:jc w:val="both"/>
        <w:rPr>
          <w:rFonts w:eastAsia="Calibri" w:cs="Times New Roman"/>
          <w:iCs w:val="0"/>
          <w:szCs w:val="22"/>
          <w:lang w:val="es-MX" w:eastAsia="en-US"/>
        </w:rPr>
      </w:pPr>
    </w:p>
    <w:p w14:paraId="5AFF5FF6"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 xml:space="preserve">La </w:t>
      </w:r>
      <w:r w:rsidRPr="00974726">
        <w:rPr>
          <w:rFonts w:eastAsia="Calibri" w:cs="Times New Roman"/>
          <w:b/>
          <w:bCs/>
          <w:iCs w:val="0"/>
          <w:szCs w:val="22"/>
          <w:lang w:val="es-MX" w:eastAsia="en-US"/>
        </w:rPr>
        <w:t>prueba del ácido</w:t>
      </w:r>
      <w:r w:rsidRPr="00974726">
        <w:rPr>
          <w:rFonts w:eastAsia="Calibri" w:cs="Times New Roman"/>
          <w:iCs w:val="0"/>
          <w:szCs w:val="22"/>
          <w:lang w:val="es-MX" w:eastAsia="en-US"/>
        </w:rPr>
        <w:t xml:space="preserve"> indica que el Poder Judicial cuenta con $ 4.5 pesos de activos de conversión inmediata en efectivo por cada peso de pasivos a corto plazo.</w:t>
      </w:r>
    </w:p>
    <w:p w14:paraId="12114EBD" w14:textId="77777777" w:rsidR="00974726" w:rsidRPr="00974726" w:rsidRDefault="00974726" w:rsidP="00974726">
      <w:pPr>
        <w:tabs>
          <w:tab w:val="left" w:pos="5280"/>
        </w:tabs>
        <w:jc w:val="both"/>
        <w:rPr>
          <w:rFonts w:eastAsia="Calibri" w:cs="Times New Roman"/>
          <w:iCs w:val="0"/>
          <w:szCs w:val="22"/>
          <w:lang w:val="es-MX" w:eastAsia="en-US"/>
        </w:rPr>
      </w:pPr>
    </w:p>
    <w:p w14:paraId="3D06717E"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La posición financiera que guarda el Poder Judicial muestra los ingresos y egresos al 30 de junio del ejercicio 2024, toda vez que los saldos de los pasivos se han mantenido en niveles saludables y en equilibrio de la recaudación de los ingresos</w:t>
      </w:r>
    </w:p>
    <w:p w14:paraId="3B3CB788" w14:textId="77777777" w:rsidR="00974726" w:rsidRPr="00974726" w:rsidRDefault="00974726" w:rsidP="00974726">
      <w:pPr>
        <w:tabs>
          <w:tab w:val="left" w:pos="5280"/>
        </w:tabs>
        <w:jc w:val="both"/>
        <w:rPr>
          <w:rFonts w:eastAsia="Calibri" w:cs="Times New Roman"/>
          <w:iCs w:val="0"/>
          <w:szCs w:val="22"/>
          <w:lang w:val="es-MX" w:eastAsia="en-US"/>
        </w:rPr>
      </w:pPr>
    </w:p>
    <w:p w14:paraId="23599E32" w14:textId="77777777" w:rsidR="00974726" w:rsidRPr="00974726" w:rsidRDefault="00974726" w:rsidP="00974726">
      <w:pPr>
        <w:tabs>
          <w:tab w:val="left" w:pos="5280"/>
        </w:tabs>
        <w:jc w:val="both"/>
        <w:rPr>
          <w:rFonts w:eastAsia="Calibri" w:cs="Times New Roman"/>
          <w:iCs w:val="0"/>
          <w:szCs w:val="22"/>
          <w:lang w:val="es-MX" w:eastAsia="en-US"/>
        </w:rPr>
      </w:pPr>
      <w:r w:rsidRPr="00974726">
        <w:rPr>
          <w:rFonts w:eastAsia="Calibri" w:cs="Times New Roman"/>
          <w:iCs w:val="0"/>
          <w:szCs w:val="22"/>
          <w:lang w:val="es-MX" w:eastAsia="en-US"/>
        </w:rPr>
        <w:t>En conclusión, las obligaciones que se tienen a corto plazo, son cubiertas con el total de los activos propiedad del Poder Judicial.</w:t>
      </w:r>
    </w:p>
    <w:p w14:paraId="4016AA13" w14:textId="77777777" w:rsidR="00974726" w:rsidRPr="00974726" w:rsidRDefault="00974726" w:rsidP="00974726">
      <w:pPr>
        <w:tabs>
          <w:tab w:val="left" w:pos="5280"/>
        </w:tabs>
        <w:jc w:val="both"/>
        <w:rPr>
          <w:rFonts w:eastAsia="Calibri" w:cs="Times New Roman"/>
          <w:iCs w:val="0"/>
          <w:szCs w:val="22"/>
          <w:lang w:val="es-MX" w:eastAsia="en-US"/>
        </w:rPr>
      </w:pPr>
    </w:p>
    <w:p w14:paraId="40876070" w14:textId="77777777" w:rsidR="00974726" w:rsidRPr="00974726" w:rsidRDefault="00974726" w:rsidP="00974726">
      <w:pPr>
        <w:tabs>
          <w:tab w:val="left" w:pos="5280"/>
        </w:tabs>
        <w:jc w:val="both"/>
        <w:rPr>
          <w:rFonts w:eastAsia="Calibri" w:cs="Times New Roman"/>
          <w:iCs w:val="0"/>
          <w:szCs w:val="22"/>
          <w:lang w:val="es-MX" w:eastAsia="en-US"/>
        </w:rPr>
      </w:pPr>
    </w:p>
    <w:p w14:paraId="248B71BF" w14:textId="77777777" w:rsidR="00974726" w:rsidRPr="00974726" w:rsidRDefault="00974726" w:rsidP="00974726">
      <w:pPr>
        <w:jc w:val="both"/>
        <w:rPr>
          <w:rFonts w:eastAsia="Calibri" w:cs="Times New Roman"/>
          <w:b/>
          <w:iCs w:val="0"/>
          <w:caps/>
          <w:szCs w:val="22"/>
          <w:lang w:val="es-MX" w:eastAsia="en-US"/>
        </w:rPr>
      </w:pPr>
    </w:p>
    <w:p w14:paraId="149763B0" w14:textId="77777777" w:rsidR="00974726" w:rsidRPr="00974726" w:rsidRDefault="00974726" w:rsidP="00974726">
      <w:pPr>
        <w:spacing w:after="160" w:line="259" w:lineRule="auto"/>
        <w:jc w:val="both"/>
        <w:rPr>
          <w:rFonts w:eastAsia="Calibri" w:cs="Times New Roman"/>
          <w:b/>
          <w:iCs w:val="0"/>
          <w:caps/>
          <w:szCs w:val="22"/>
          <w:lang w:val="es-MX" w:eastAsia="en-US"/>
        </w:rPr>
      </w:pPr>
      <w:r w:rsidRPr="00974726">
        <w:rPr>
          <w:rFonts w:eastAsia="Calibri" w:cs="Times New Roman"/>
          <w:b/>
          <w:iCs w:val="0"/>
          <w:caps/>
          <w:szCs w:val="22"/>
          <w:lang w:val="es-MX" w:eastAsia="en-US"/>
        </w:rPr>
        <w:br w:type="page"/>
      </w:r>
    </w:p>
    <w:p w14:paraId="0ED80C5D" w14:textId="77777777" w:rsidR="00974726" w:rsidRPr="00974726" w:rsidRDefault="00974726" w:rsidP="00974726">
      <w:pPr>
        <w:keepNext/>
        <w:keepLines/>
        <w:jc w:val="both"/>
        <w:outlineLvl w:val="0"/>
        <w:rPr>
          <w:rFonts w:cs="Times New Roman"/>
          <w:b/>
          <w:bCs/>
          <w:color w:val="9E213D"/>
          <w:sz w:val="28"/>
          <w:szCs w:val="32"/>
          <w:lang w:val="es-MX" w:eastAsia="es-MX"/>
        </w:rPr>
      </w:pPr>
      <w:bookmarkStart w:id="7" w:name="_Hlk125467787"/>
      <w:r w:rsidRPr="00974726">
        <w:rPr>
          <w:rFonts w:cs="Times New Roman"/>
          <w:b/>
          <w:iCs w:val="0"/>
          <w:color w:val="9E213D"/>
          <w:sz w:val="28"/>
          <w:szCs w:val="32"/>
          <w:lang w:val="es-MX" w:eastAsia="es-MX"/>
        </w:rPr>
        <w:lastRenderedPageBreak/>
        <w:t>Reporte analítico del activo no circulante</w:t>
      </w:r>
    </w:p>
    <w:p w14:paraId="115F12D2" w14:textId="77777777" w:rsidR="00974726" w:rsidRPr="00974726" w:rsidRDefault="00974726" w:rsidP="00974726">
      <w:pPr>
        <w:widowControl w:val="0"/>
        <w:jc w:val="both"/>
        <w:rPr>
          <w:rFonts w:eastAsia="Calibri"/>
          <w:iCs w:val="0"/>
          <w:lang w:val="es-MX" w:eastAsia="en-US"/>
        </w:rPr>
      </w:pPr>
    </w:p>
    <w:bookmarkEnd w:id="7"/>
    <w:p w14:paraId="0761BD43" w14:textId="77777777" w:rsidR="00974726" w:rsidRPr="00974726" w:rsidRDefault="00974726" w:rsidP="00974726">
      <w:pPr>
        <w:widowControl w:val="0"/>
        <w:jc w:val="both"/>
        <w:rPr>
          <w:rFonts w:eastAsia="Calibri" w:cs="Times New Roman"/>
          <w:iCs w:val="0"/>
          <w:szCs w:val="22"/>
          <w:lang w:val="es-MX" w:eastAsia="en-US"/>
        </w:rPr>
      </w:pPr>
      <w:r w:rsidRPr="00974726">
        <w:rPr>
          <w:rFonts w:eastAsia="Calibri" w:cs="Times New Roman"/>
          <w:iCs w:val="0"/>
          <w:szCs w:val="22"/>
          <w:lang w:val="es-MX" w:eastAsia="en-US"/>
        </w:rPr>
        <w:t>A continuación, se presentan los saldos por tipo de activo no circulante registrado en los estados financieros consolidados del poder judicial, al 30 de junio de 2024. Este reporte muestra el total de las adquisiciones que cada uno de los entes públicos integran su patrimonio.</w:t>
      </w:r>
    </w:p>
    <w:p w14:paraId="4BA664F1" w14:textId="77777777" w:rsidR="00974726" w:rsidRPr="00974726" w:rsidRDefault="00974726" w:rsidP="00974726">
      <w:pPr>
        <w:jc w:val="both"/>
        <w:rPr>
          <w:rFonts w:eastAsia="Calibri" w:cs="Times New Roman"/>
          <w:b/>
          <w:bCs/>
          <w:iCs w:val="0"/>
          <w:szCs w:val="22"/>
          <w:lang w:val="es-MX" w:eastAsia="en-US"/>
        </w:rPr>
      </w:pPr>
    </w:p>
    <w:p w14:paraId="497B54D5" w14:textId="77777777" w:rsidR="00974726" w:rsidRPr="00974726" w:rsidRDefault="00974726" w:rsidP="00974726">
      <w:pPr>
        <w:jc w:val="center"/>
        <w:rPr>
          <w:rFonts w:eastAsia="Calibri" w:cs="Times New Roman"/>
          <w:b/>
          <w:bCs/>
          <w:iCs w:val="0"/>
          <w:szCs w:val="22"/>
          <w:lang w:val="es-MX" w:eastAsia="en-US"/>
        </w:rPr>
      </w:pPr>
      <w:r w:rsidRPr="00974726">
        <w:rPr>
          <w:rFonts w:eastAsia="Calibri" w:cs="Times New Roman"/>
          <w:iCs w:val="0"/>
          <w:noProof/>
          <w:szCs w:val="22"/>
          <w:lang w:val="es-MX" w:eastAsia="en-US"/>
        </w:rPr>
        <w:drawing>
          <wp:inline distT="0" distB="0" distL="0" distR="0" wp14:anchorId="788798B9" wp14:editId="04FAD936">
            <wp:extent cx="6403975" cy="1544320"/>
            <wp:effectExtent l="0" t="0" r="0" b="0"/>
            <wp:docPr id="1846405785" name="Imagen 184640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3975" cy="1544320"/>
                    </a:xfrm>
                    <a:prstGeom prst="rect">
                      <a:avLst/>
                    </a:prstGeom>
                    <a:noFill/>
                    <a:ln>
                      <a:noFill/>
                    </a:ln>
                  </pic:spPr>
                </pic:pic>
              </a:graphicData>
            </a:graphic>
          </wp:inline>
        </w:drawing>
      </w:r>
    </w:p>
    <w:p w14:paraId="1B723CB5" w14:textId="77777777" w:rsidR="00974726" w:rsidRPr="00974726" w:rsidRDefault="00974726" w:rsidP="00974726">
      <w:pPr>
        <w:jc w:val="both"/>
        <w:rPr>
          <w:rFonts w:eastAsia="Calibri" w:cs="Times New Roman"/>
          <w:b/>
          <w:bCs/>
          <w:iCs w:val="0"/>
          <w:szCs w:val="22"/>
          <w:lang w:val="es-MX" w:eastAsia="en-US"/>
        </w:rPr>
      </w:pPr>
    </w:p>
    <w:p w14:paraId="088FB09E" w14:textId="77777777" w:rsidR="00974726" w:rsidRPr="00974726" w:rsidRDefault="00974726" w:rsidP="00974726">
      <w:pPr>
        <w:jc w:val="both"/>
        <w:rPr>
          <w:rFonts w:eastAsia="Calibri" w:cs="Times New Roman"/>
          <w:iCs w:val="0"/>
          <w:szCs w:val="22"/>
          <w:lang w:val="es-MX" w:eastAsia="en-US"/>
        </w:rPr>
      </w:pPr>
    </w:p>
    <w:p w14:paraId="0B774E1B" w14:textId="77777777" w:rsidR="00974726" w:rsidRPr="00974726" w:rsidRDefault="00974726" w:rsidP="00974726">
      <w:pPr>
        <w:jc w:val="both"/>
        <w:rPr>
          <w:rFonts w:eastAsia="Calibri" w:cs="Times New Roman"/>
          <w:iCs w:val="0"/>
          <w:szCs w:val="22"/>
          <w:lang w:val="es-MX" w:eastAsia="en-US"/>
        </w:rPr>
      </w:pPr>
    </w:p>
    <w:p w14:paraId="7AFC17D4" w14:textId="77777777" w:rsidR="00974726" w:rsidRPr="00974726" w:rsidRDefault="00974726" w:rsidP="00974726">
      <w:pPr>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266BA497" wp14:editId="0A9602A2">
            <wp:extent cx="6403975" cy="1516380"/>
            <wp:effectExtent l="0" t="0" r="0" b="0"/>
            <wp:docPr id="1846405786" name="Imagen 184640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3975" cy="1516380"/>
                    </a:xfrm>
                    <a:prstGeom prst="rect">
                      <a:avLst/>
                    </a:prstGeom>
                    <a:noFill/>
                    <a:ln>
                      <a:noFill/>
                    </a:ln>
                  </pic:spPr>
                </pic:pic>
              </a:graphicData>
            </a:graphic>
          </wp:inline>
        </w:drawing>
      </w:r>
    </w:p>
    <w:p w14:paraId="342B1ECC" w14:textId="77777777" w:rsidR="00974726" w:rsidRPr="00974726" w:rsidRDefault="00974726" w:rsidP="00974726">
      <w:pPr>
        <w:jc w:val="both"/>
        <w:rPr>
          <w:rFonts w:eastAsia="Calibri" w:cs="Times New Roman"/>
          <w:iCs w:val="0"/>
          <w:szCs w:val="22"/>
          <w:lang w:val="es-MX" w:eastAsia="en-US"/>
        </w:rPr>
      </w:pPr>
    </w:p>
    <w:p w14:paraId="75493878" w14:textId="77777777" w:rsidR="00974726" w:rsidRPr="00974726" w:rsidRDefault="00974726" w:rsidP="00974726">
      <w:pPr>
        <w:jc w:val="both"/>
        <w:rPr>
          <w:rFonts w:eastAsia="Calibri" w:cs="Times New Roman"/>
          <w:iCs w:val="0"/>
          <w:szCs w:val="22"/>
          <w:lang w:val="es-MX" w:eastAsia="en-US"/>
        </w:rPr>
      </w:pPr>
    </w:p>
    <w:p w14:paraId="150854EC" w14:textId="77777777" w:rsidR="00974726" w:rsidRPr="00974726" w:rsidRDefault="00974726" w:rsidP="00974726">
      <w:pPr>
        <w:jc w:val="both"/>
        <w:rPr>
          <w:rFonts w:eastAsia="Calibri" w:cs="Times New Roman"/>
          <w:iCs w:val="0"/>
          <w:szCs w:val="22"/>
          <w:lang w:val="es-MX" w:eastAsia="en-US"/>
        </w:rPr>
      </w:pPr>
    </w:p>
    <w:p w14:paraId="7BAEA8FD" w14:textId="77777777" w:rsidR="00974726" w:rsidRPr="00974726" w:rsidRDefault="00974726" w:rsidP="00974726">
      <w:pPr>
        <w:jc w:val="center"/>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37EFC928" wp14:editId="0504E83D">
            <wp:extent cx="6403975" cy="1678305"/>
            <wp:effectExtent l="0" t="0" r="0" b="0"/>
            <wp:docPr id="1846405787" name="Imagen 184640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3975" cy="1678305"/>
                    </a:xfrm>
                    <a:prstGeom prst="rect">
                      <a:avLst/>
                    </a:prstGeom>
                    <a:noFill/>
                    <a:ln>
                      <a:noFill/>
                    </a:ln>
                  </pic:spPr>
                </pic:pic>
              </a:graphicData>
            </a:graphic>
          </wp:inline>
        </w:drawing>
      </w:r>
    </w:p>
    <w:p w14:paraId="7695E825" w14:textId="77777777" w:rsidR="00974726" w:rsidRPr="00974726" w:rsidRDefault="00974726" w:rsidP="00974726">
      <w:pPr>
        <w:jc w:val="both"/>
        <w:rPr>
          <w:rFonts w:eastAsia="Calibri" w:cs="Times New Roman"/>
          <w:iCs w:val="0"/>
          <w:szCs w:val="22"/>
          <w:lang w:val="es-MX" w:eastAsia="en-US"/>
        </w:rPr>
      </w:pPr>
    </w:p>
    <w:p w14:paraId="6FF7C58E" w14:textId="77777777" w:rsidR="00974726" w:rsidRPr="00974726" w:rsidRDefault="00974726" w:rsidP="00974726">
      <w:pPr>
        <w:jc w:val="both"/>
        <w:rPr>
          <w:rFonts w:eastAsia="Calibri" w:cs="Times New Roman"/>
          <w:iCs w:val="0"/>
          <w:szCs w:val="22"/>
          <w:lang w:val="es-MX" w:eastAsia="en-US"/>
        </w:rPr>
      </w:pPr>
    </w:p>
    <w:p w14:paraId="0F62CB01" w14:textId="77777777" w:rsidR="00974726" w:rsidRPr="00974726" w:rsidRDefault="00974726" w:rsidP="00974726">
      <w:pPr>
        <w:jc w:val="both"/>
        <w:rPr>
          <w:rFonts w:eastAsia="Calibri" w:cs="Times New Roman"/>
          <w:iCs w:val="0"/>
          <w:szCs w:val="22"/>
          <w:lang w:val="es-MX" w:eastAsia="en-US"/>
        </w:rPr>
      </w:pPr>
    </w:p>
    <w:p w14:paraId="5C12A6ED"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284E246F" wp14:editId="58D8799C">
            <wp:extent cx="6403975" cy="1670050"/>
            <wp:effectExtent l="0" t="0" r="0" b="0"/>
            <wp:docPr id="1846405788" name="Imagen 184640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3975" cy="1670050"/>
                    </a:xfrm>
                    <a:prstGeom prst="rect">
                      <a:avLst/>
                    </a:prstGeom>
                    <a:noFill/>
                    <a:ln>
                      <a:noFill/>
                    </a:ln>
                  </pic:spPr>
                </pic:pic>
              </a:graphicData>
            </a:graphic>
          </wp:inline>
        </w:drawing>
      </w:r>
    </w:p>
    <w:p w14:paraId="529AA977"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lastRenderedPageBreak/>
        <w:drawing>
          <wp:inline distT="0" distB="0" distL="0" distR="0" wp14:anchorId="03BE33DC" wp14:editId="32D83EC3">
            <wp:extent cx="6403975" cy="1511300"/>
            <wp:effectExtent l="0" t="0" r="0" b="0"/>
            <wp:docPr id="1846405789" name="Imagen 184640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3975" cy="1511300"/>
                    </a:xfrm>
                    <a:prstGeom prst="rect">
                      <a:avLst/>
                    </a:prstGeom>
                    <a:noFill/>
                    <a:ln>
                      <a:noFill/>
                    </a:ln>
                  </pic:spPr>
                </pic:pic>
              </a:graphicData>
            </a:graphic>
          </wp:inline>
        </w:drawing>
      </w:r>
    </w:p>
    <w:p w14:paraId="12640C21" w14:textId="77777777" w:rsidR="00974726" w:rsidRPr="00974726" w:rsidRDefault="00974726" w:rsidP="00974726">
      <w:pPr>
        <w:jc w:val="both"/>
        <w:rPr>
          <w:rFonts w:eastAsia="Calibri" w:cs="Times New Roman"/>
          <w:iCs w:val="0"/>
          <w:szCs w:val="22"/>
          <w:lang w:val="es-MX" w:eastAsia="en-US"/>
        </w:rPr>
      </w:pPr>
    </w:p>
    <w:p w14:paraId="233215EC" w14:textId="77777777" w:rsidR="00974726" w:rsidRPr="00974726" w:rsidRDefault="00974726" w:rsidP="00974726">
      <w:pPr>
        <w:jc w:val="both"/>
        <w:rPr>
          <w:rFonts w:eastAsia="Calibri" w:cs="Times New Roman"/>
          <w:iCs w:val="0"/>
          <w:szCs w:val="22"/>
          <w:lang w:val="es-MX" w:eastAsia="en-US"/>
        </w:rPr>
      </w:pPr>
    </w:p>
    <w:p w14:paraId="537FC098" w14:textId="77777777" w:rsidR="00974726" w:rsidRPr="00974726" w:rsidRDefault="00974726" w:rsidP="00974726">
      <w:pPr>
        <w:jc w:val="both"/>
        <w:rPr>
          <w:rFonts w:eastAsia="Calibri" w:cs="Times New Roman"/>
          <w:iCs w:val="0"/>
          <w:szCs w:val="22"/>
          <w:lang w:val="es-MX" w:eastAsia="en-US"/>
        </w:rPr>
      </w:pPr>
    </w:p>
    <w:p w14:paraId="670C7A75" w14:textId="77777777" w:rsidR="00974726" w:rsidRPr="00974726" w:rsidRDefault="00974726" w:rsidP="00974726">
      <w:pPr>
        <w:jc w:val="center"/>
        <w:outlineLvl w:val="0"/>
        <w:rPr>
          <w:rFonts w:eastAsia="Calibri" w:cs="Times New Roman"/>
          <w:iCs w:val="0"/>
          <w:szCs w:val="22"/>
          <w:lang w:val="es-MX" w:eastAsia="en-US"/>
        </w:rPr>
      </w:pPr>
      <w:r w:rsidRPr="00974726">
        <w:rPr>
          <w:rFonts w:eastAsia="Calibri" w:cs="Times New Roman"/>
          <w:iCs w:val="0"/>
          <w:noProof/>
          <w:szCs w:val="22"/>
          <w:lang w:val="es-MX" w:eastAsia="en-US"/>
        </w:rPr>
        <w:drawing>
          <wp:inline distT="0" distB="0" distL="0" distR="0" wp14:anchorId="2CEC8F64" wp14:editId="0A45ACEC">
            <wp:extent cx="6403975" cy="1619885"/>
            <wp:effectExtent l="0" t="0" r="0" b="0"/>
            <wp:docPr id="1846405790" name="Imagen 184640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3975" cy="1619885"/>
                    </a:xfrm>
                    <a:prstGeom prst="rect">
                      <a:avLst/>
                    </a:prstGeom>
                    <a:noFill/>
                    <a:ln>
                      <a:noFill/>
                    </a:ln>
                  </pic:spPr>
                </pic:pic>
              </a:graphicData>
            </a:graphic>
          </wp:inline>
        </w:drawing>
      </w:r>
    </w:p>
    <w:p w14:paraId="64C2C247" w14:textId="77777777" w:rsidR="00974726" w:rsidRPr="00974726" w:rsidRDefault="00974726" w:rsidP="00974726">
      <w:pPr>
        <w:jc w:val="both"/>
        <w:outlineLvl w:val="0"/>
        <w:rPr>
          <w:rFonts w:eastAsia="Calibri" w:cs="Times New Roman"/>
          <w:iCs w:val="0"/>
          <w:szCs w:val="22"/>
          <w:lang w:val="es-MX" w:eastAsia="en-US"/>
        </w:rPr>
      </w:pPr>
    </w:p>
    <w:p w14:paraId="1EA40D97" w14:textId="77777777" w:rsidR="00974726" w:rsidRPr="00974726" w:rsidRDefault="00974726" w:rsidP="00974726">
      <w:pPr>
        <w:jc w:val="both"/>
        <w:outlineLvl w:val="0"/>
        <w:rPr>
          <w:rFonts w:eastAsia="Calibri" w:cs="Times New Roman"/>
          <w:iCs w:val="0"/>
          <w:szCs w:val="22"/>
          <w:lang w:val="es-MX" w:eastAsia="en-US"/>
        </w:rPr>
      </w:pPr>
    </w:p>
    <w:p w14:paraId="16AA0DA2" w14:textId="77777777" w:rsidR="00974726" w:rsidRPr="00974726" w:rsidRDefault="00974726" w:rsidP="00974726">
      <w:pPr>
        <w:jc w:val="both"/>
        <w:rPr>
          <w:rFonts w:eastAsia="Calibri"/>
          <w:iCs w:val="0"/>
          <w:lang w:val="es-MX" w:eastAsia="en-US"/>
        </w:rPr>
      </w:pPr>
    </w:p>
    <w:p w14:paraId="14D9C709" w14:textId="77777777" w:rsidR="00974726" w:rsidRPr="00974726" w:rsidRDefault="00974726" w:rsidP="00974726">
      <w:pPr>
        <w:jc w:val="both"/>
        <w:rPr>
          <w:rFonts w:eastAsia="Calibri"/>
          <w:iCs w:val="0"/>
          <w:lang w:val="es-MX" w:eastAsia="en-US"/>
        </w:rPr>
      </w:pPr>
    </w:p>
    <w:p w14:paraId="47C366F0" w14:textId="77777777" w:rsidR="00974726" w:rsidRPr="000439A7" w:rsidRDefault="00974726" w:rsidP="00974726">
      <w:pPr>
        <w:rPr>
          <w:rFonts w:eastAsia="Calibri"/>
        </w:rPr>
      </w:pPr>
    </w:p>
    <w:p w14:paraId="5ED1CF98" w14:textId="77777777" w:rsidR="008056F0" w:rsidRPr="002E1906" w:rsidRDefault="008056F0" w:rsidP="00974726"/>
    <w:sectPr w:rsidR="008056F0" w:rsidRPr="002E1906" w:rsidSect="006E7DD1">
      <w:headerReference w:type="default" r:id="rId45"/>
      <w:footerReference w:type="even" r:id="rId46"/>
      <w:footerReference w:type="default" r:id="rId47"/>
      <w:headerReference w:type="first" r:id="rId48"/>
      <w:footerReference w:type="first" r:id="rId4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D0C8" w14:textId="77777777" w:rsidR="005A2D10" w:rsidRDefault="005A2D10">
      <w:r>
        <w:separator/>
      </w:r>
    </w:p>
  </w:endnote>
  <w:endnote w:type="continuationSeparator" w:id="0">
    <w:p w14:paraId="55D4B1E2" w14:textId="77777777" w:rsidR="005A2D10" w:rsidRDefault="005A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485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123D6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340F" w14:textId="77777777" w:rsidR="004119E4" w:rsidRPr="002E1906"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2E1906">
      <w:rPr>
        <w:rFonts w:ascii="HelveticaNeueLT Std Lt" w:eastAsia="Kozuka Gothic Pro B" w:hAnsi="HelveticaNeueLT Std Lt"/>
        <w:color w:val="FFFFFF"/>
        <w:sz w:val="22"/>
        <w:szCs w:val="22"/>
        <w:lang w:val="es-MX"/>
      </w:rPr>
      <w:fldChar w:fldCharType="begin"/>
    </w:r>
    <w:r w:rsidRPr="002E1906">
      <w:rPr>
        <w:rFonts w:ascii="HelveticaNeueLT Std Lt" w:eastAsia="Kozuka Gothic Pro B" w:hAnsi="HelveticaNeueLT Std Lt"/>
        <w:color w:val="FFFFFF"/>
        <w:sz w:val="22"/>
        <w:szCs w:val="22"/>
        <w:lang w:val="es-MX"/>
      </w:rPr>
      <w:instrText xml:space="preserve">PAGE  </w:instrText>
    </w:r>
    <w:r w:rsidRPr="002E1906">
      <w:rPr>
        <w:rFonts w:ascii="HelveticaNeueLT Std Lt" w:eastAsia="Kozuka Gothic Pro B" w:hAnsi="HelveticaNeueLT Std Lt"/>
        <w:color w:val="FFFFFF"/>
        <w:sz w:val="22"/>
        <w:szCs w:val="22"/>
        <w:lang w:val="es-MX"/>
      </w:rPr>
      <w:fldChar w:fldCharType="separate"/>
    </w:r>
    <w:r w:rsidR="00C75655" w:rsidRPr="002E1906">
      <w:rPr>
        <w:rFonts w:ascii="HelveticaNeueLT Std Lt" w:eastAsia="Kozuka Gothic Pro B" w:hAnsi="HelveticaNeueLT Std Lt"/>
        <w:noProof/>
        <w:color w:val="FFFFFF"/>
        <w:sz w:val="22"/>
        <w:szCs w:val="22"/>
        <w:lang w:val="es-MX"/>
      </w:rPr>
      <w:t>16</w:t>
    </w:r>
    <w:r w:rsidRPr="002E1906">
      <w:rPr>
        <w:rFonts w:ascii="HelveticaNeueLT Std Lt" w:eastAsia="Kozuka Gothic Pro B" w:hAnsi="HelveticaNeueLT Std Lt"/>
        <w:color w:val="FFFFFF"/>
        <w:sz w:val="22"/>
        <w:szCs w:val="22"/>
        <w:lang w:val="es-MX"/>
      </w:rPr>
      <w:fldChar w:fldCharType="end"/>
    </w:r>
  </w:p>
  <w:p w14:paraId="02ADF739"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1A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05ECFBFB" wp14:editId="6F8B860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56A19D13" wp14:editId="1113B65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C474302" wp14:editId="14E272E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E5FC7B6" wp14:editId="4B7D743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6E17AA4" wp14:editId="332AB2AE">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9448" w14:textId="77777777" w:rsidR="005A2D10" w:rsidRDefault="005A2D10">
      <w:r>
        <w:separator/>
      </w:r>
    </w:p>
  </w:footnote>
  <w:footnote w:type="continuationSeparator" w:id="0">
    <w:p w14:paraId="23EE618E" w14:textId="77777777" w:rsidR="005A2D10" w:rsidRDefault="005A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47337"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F5A528E" wp14:editId="471E1BAE">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0F6F"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3D9B1142" w14:textId="181AECC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B21A9E">
                            <w:rPr>
                              <w:rFonts w:ascii="HelveticaNeueLT Std Lt" w:eastAsia="Kozuka Gothic Pro B" w:hAnsi="HelveticaNeueLT Std Lt"/>
                              <w:lang w:val="es-MX"/>
                            </w:rPr>
                            <w:t>4</w:t>
                          </w:r>
                        </w:p>
                        <w:p w14:paraId="00F1D517"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528E"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61560F6F"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3D9B1142" w14:textId="181AECC9"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B21A9E">
                      <w:rPr>
                        <w:rFonts w:ascii="HelveticaNeueLT Std Lt" w:eastAsia="Kozuka Gothic Pro B" w:hAnsi="HelveticaNeueLT Std Lt"/>
                        <w:lang w:val="es-MX"/>
                      </w:rPr>
                      <w:t>4</w:t>
                    </w:r>
                  </w:p>
                  <w:p w14:paraId="00F1D517"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6918B30E" wp14:editId="739A1FE9">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7844EBB4" w14:textId="77777777" w:rsidR="004119E4" w:rsidRDefault="004119E4" w:rsidP="00BF6032">
    <w:pPr>
      <w:pStyle w:val="Encabezado"/>
      <w:tabs>
        <w:tab w:val="left" w:pos="4860"/>
      </w:tabs>
      <w:ind w:right="846"/>
      <w:jc w:val="right"/>
      <w:rPr>
        <w:rFonts w:ascii="Romana BT" w:hAnsi="Romana BT"/>
        <w:b/>
        <w:sz w:val="16"/>
        <w:szCs w:val="16"/>
      </w:rPr>
    </w:pPr>
  </w:p>
  <w:p w14:paraId="071359B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8CD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AC72933" wp14:editId="4584779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9"/>
  </w:num>
  <w:num w:numId="8">
    <w:abstractNumId w:val="1"/>
  </w:num>
  <w:num w:numId="9">
    <w:abstractNumId w:val="5"/>
  </w:num>
  <w:num w:numId="10">
    <w:abstractNumId w:val="9"/>
  </w:num>
  <w:num w:numId="11">
    <w:abstractNumId w:val="1"/>
  </w:num>
  <w:num w:numId="12">
    <w:abstractNumId w:val="5"/>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427F"/>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59A"/>
    <w:rsid w:val="00184D21"/>
    <w:rsid w:val="00186E24"/>
    <w:rsid w:val="00190D00"/>
    <w:rsid w:val="0019112D"/>
    <w:rsid w:val="00193EC7"/>
    <w:rsid w:val="00196754"/>
    <w:rsid w:val="00196C1D"/>
    <w:rsid w:val="001A264E"/>
    <w:rsid w:val="001A333F"/>
    <w:rsid w:val="001A3A25"/>
    <w:rsid w:val="001A4068"/>
    <w:rsid w:val="001A5625"/>
    <w:rsid w:val="001A7D53"/>
    <w:rsid w:val="001A7FDA"/>
    <w:rsid w:val="001B3F67"/>
    <w:rsid w:val="001C14A9"/>
    <w:rsid w:val="001C1E18"/>
    <w:rsid w:val="001C3A35"/>
    <w:rsid w:val="001C405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1FA"/>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E0223"/>
    <w:rsid w:val="002E0337"/>
    <w:rsid w:val="002E054A"/>
    <w:rsid w:val="002E1906"/>
    <w:rsid w:val="002E1944"/>
    <w:rsid w:val="002E1BAF"/>
    <w:rsid w:val="002E21DA"/>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2D10"/>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56F0"/>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3E91"/>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4726"/>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5AE9"/>
    <w:rsid w:val="009E66C0"/>
    <w:rsid w:val="009E6E1E"/>
    <w:rsid w:val="009F1439"/>
    <w:rsid w:val="009F1873"/>
    <w:rsid w:val="009F19DF"/>
    <w:rsid w:val="009F2FE0"/>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124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1A9E"/>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655"/>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9A0"/>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11F6"/>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2C7"/>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396"/>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5BA6"/>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1572ED89"/>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76CA-BA8D-45C8-9842-96F278C4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3179</Words>
  <Characters>17489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25</cp:revision>
  <cp:lastPrinted>2017-10-24T17:28:00Z</cp:lastPrinted>
  <dcterms:created xsi:type="dcterms:W3CDTF">2019-05-02T20:41:00Z</dcterms:created>
  <dcterms:modified xsi:type="dcterms:W3CDTF">2024-08-08T20:18:00Z</dcterms:modified>
</cp:coreProperties>
</file>