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D6D2" w14:textId="77777777"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14:paraId="7D981538" w14:textId="77777777" w:rsidR="00831BB1" w:rsidRDefault="00831BB1" w:rsidP="00831BB1">
      <w:pPr>
        <w:jc w:val="both"/>
      </w:pPr>
    </w:p>
    <w:p w14:paraId="4E730ADE" w14:textId="77777777" w:rsidR="009E644E" w:rsidRPr="004D43A9" w:rsidRDefault="009E644E" w:rsidP="00831BB1">
      <w:pPr>
        <w:jc w:val="both"/>
      </w:pPr>
    </w:p>
    <w:p w14:paraId="5B4350FA" w14:textId="77777777" w:rsidR="00772388" w:rsidRPr="000D3DD1" w:rsidRDefault="00772388" w:rsidP="00772388">
      <w:pPr>
        <w:autoSpaceDE w:val="0"/>
        <w:autoSpaceDN w:val="0"/>
        <w:adjustRightInd w:val="0"/>
        <w:jc w:val="both"/>
        <w:rPr>
          <w:rFonts w:eastAsia="Calibri"/>
          <w:snapToGrid w:val="0"/>
          <w:color w:val="000000"/>
          <w:lang w:val="es-ES_tradnl"/>
        </w:rPr>
      </w:pPr>
      <w:r w:rsidRPr="000D3DD1">
        <w:rPr>
          <w:rFonts w:eastAsia="Calibri"/>
          <w:snapToGrid w:val="0"/>
          <w:color w:val="000000"/>
          <w:lang w:val="es-ES_tradnl"/>
        </w:rPr>
        <w:t xml:space="preserve">El 16 de mayo de 2007 mediante Decreto número 177 publicado en el Periódico Oficial, la Sexagésima Segunda Legislatura Constitucional del Honorable Congreso del Estado Libre y Soberano de Chiapas, autorizó al Titular del Poder Ejecutivo, a través de la Secretaría de Hacienda, </w:t>
      </w:r>
      <w:bookmarkStart w:id="0" w:name="_GoBack"/>
      <w:bookmarkEnd w:id="0"/>
      <w:r w:rsidRPr="000D3DD1">
        <w:rPr>
          <w:rFonts w:eastAsia="Calibri"/>
          <w:snapToGrid w:val="0"/>
          <w:color w:val="000000"/>
          <w:lang w:val="es-ES_tradnl"/>
        </w:rPr>
        <w:t>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 de la recaudación del Impuesto Sobre Nóminas (ISN), su actualización y recargos, los que no se consideran deuda pública a cargo del Estado, de conformidad con el artículo 430 del CHPECH.</w:t>
      </w:r>
    </w:p>
    <w:p w14:paraId="40866647" w14:textId="77777777" w:rsidR="00772388" w:rsidRPr="000D3DD1" w:rsidRDefault="00772388" w:rsidP="00772388">
      <w:pPr>
        <w:autoSpaceDE w:val="0"/>
        <w:autoSpaceDN w:val="0"/>
        <w:adjustRightInd w:val="0"/>
        <w:jc w:val="both"/>
        <w:rPr>
          <w:rFonts w:eastAsia="Calibri"/>
          <w:snapToGrid w:val="0"/>
          <w:color w:val="000000"/>
          <w:lang w:val="es-ES_tradnl"/>
        </w:rPr>
      </w:pPr>
    </w:p>
    <w:p w14:paraId="7F0E9B5D" w14:textId="77777777" w:rsidR="00772388" w:rsidRPr="000D3DD1" w:rsidRDefault="00772388" w:rsidP="00772388">
      <w:pPr>
        <w:autoSpaceDE w:val="0"/>
        <w:autoSpaceDN w:val="0"/>
        <w:adjustRightInd w:val="0"/>
        <w:jc w:val="both"/>
        <w:rPr>
          <w:rFonts w:eastAsia="Calibri"/>
          <w:snapToGrid w:val="0"/>
          <w:color w:val="000000"/>
          <w:lang w:val="es-ES_tradnl"/>
        </w:rPr>
      </w:pPr>
      <w:r w:rsidRPr="000D3DD1">
        <w:rPr>
          <w:rFonts w:eastAsia="Calibri"/>
          <w:snapToGrid w:val="0"/>
          <w:color w:val="000000"/>
          <w:lang w:val="es-ES_tradnl"/>
        </w:rPr>
        <w:t>Durante el presente ejercicio, al mes de junio de 2024, se ha liquidado un importe de 183.8 millones de pesos correspondientes a los intereses generados.</w:t>
      </w:r>
    </w:p>
    <w:p w14:paraId="6E6B3C5D" w14:textId="77777777" w:rsidR="00772388" w:rsidRPr="000D3DD1" w:rsidRDefault="00772388" w:rsidP="00772388">
      <w:pPr>
        <w:autoSpaceDE w:val="0"/>
        <w:autoSpaceDN w:val="0"/>
        <w:adjustRightInd w:val="0"/>
        <w:jc w:val="both"/>
        <w:rPr>
          <w:rFonts w:eastAsia="Calibri"/>
          <w:snapToGrid w:val="0"/>
          <w:color w:val="000000"/>
          <w:lang w:val="es-ES_tradnl"/>
        </w:rPr>
      </w:pPr>
    </w:p>
    <w:p w14:paraId="22F7A61C" w14:textId="77777777" w:rsidR="00772388" w:rsidRPr="000D3DD1" w:rsidRDefault="00772388" w:rsidP="00772388">
      <w:pPr>
        <w:autoSpaceDE w:val="0"/>
        <w:autoSpaceDN w:val="0"/>
        <w:adjustRightInd w:val="0"/>
        <w:jc w:val="both"/>
        <w:rPr>
          <w:rFonts w:eastAsia="Calibri"/>
          <w:snapToGrid w:val="0"/>
          <w:color w:val="000000"/>
          <w:lang w:val="es-ES_tradnl"/>
        </w:rPr>
      </w:pPr>
      <w:r w:rsidRPr="000D3DD1">
        <w:rPr>
          <w:rFonts w:eastAsia="Calibri"/>
          <w:snapToGrid w:val="0"/>
          <w:color w:val="000000"/>
          <w:lang w:val="es-ES_tradnl"/>
        </w:rPr>
        <w:t xml:space="preserve">Al 30 de junio de 2024, se refleja un saldo de 6 mil 793.1 millones de pesos.  </w:t>
      </w:r>
    </w:p>
    <w:p w14:paraId="11AC506C" w14:textId="77777777" w:rsidR="00772388" w:rsidRPr="0016098B" w:rsidRDefault="00772388" w:rsidP="00772388">
      <w:pPr>
        <w:autoSpaceDE w:val="0"/>
        <w:autoSpaceDN w:val="0"/>
        <w:adjustRightInd w:val="0"/>
        <w:rPr>
          <w:rFonts w:eastAsia="Calibri"/>
          <w:snapToGrid w:val="0"/>
          <w:color w:val="000000"/>
          <w:lang w:val="es-ES_tradnl"/>
        </w:rPr>
      </w:pPr>
    </w:p>
    <w:p w14:paraId="1A960751" w14:textId="77777777" w:rsidR="00772388" w:rsidRPr="00E27EEB" w:rsidRDefault="00772388" w:rsidP="00772388">
      <w:pPr>
        <w:tabs>
          <w:tab w:val="left" w:pos="4395"/>
        </w:tabs>
        <w:rPr>
          <w:b/>
          <w:bCs/>
          <w:lang w:val="es-ES_tradnl" w:eastAsia="es-MX"/>
        </w:rPr>
      </w:pPr>
      <w:r w:rsidRPr="00A6119B">
        <w:rPr>
          <w:noProof/>
        </w:rPr>
        <w:drawing>
          <wp:inline distT="0" distB="0" distL="0" distR="0" wp14:anchorId="1FB550EB" wp14:editId="4BF37E0C">
            <wp:extent cx="6660000" cy="1893329"/>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93329"/>
                    </a:xfrm>
                    <a:prstGeom prst="rect">
                      <a:avLst/>
                    </a:prstGeom>
                    <a:noFill/>
                    <a:ln>
                      <a:noFill/>
                    </a:ln>
                  </pic:spPr>
                </pic:pic>
              </a:graphicData>
            </a:graphic>
          </wp:inline>
        </w:drawing>
      </w:r>
    </w:p>
    <w:p w14:paraId="08A37E3A" w14:textId="77777777" w:rsidR="00772388" w:rsidRPr="00A32244" w:rsidRDefault="00772388" w:rsidP="00772388">
      <w:pPr>
        <w:rPr>
          <w:rFonts w:eastAsia="Arial"/>
        </w:rPr>
      </w:pPr>
    </w:p>
    <w:p w14:paraId="032E3BB5" w14:textId="77777777" w:rsidR="00772388" w:rsidRPr="00F27229" w:rsidRDefault="00772388" w:rsidP="00772388">
      <w:pPr>
        <w:rPr>
          <w:rFonts w:eastAsia="Arial"/>
        </w:rPr>
      </w:pPr>
    </w:p>
    <w:p w14:paraId="11E6672F" w14:textId="77777777" w:rsidR="00C7447C" w:rsidRPr="00C7447C" w:rsidRDefault="00C7447C" w:rsidP="008B5C98">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583E3" w14:textId="77777777" w:rsidR="00957C7D" w:rsidRDefault="00957C7D">
      <w:r>
        <w:separator/>
      </w:r>
    </w:p>
  </w:endnote>
  <w:endnote w:type="continuationSeparator" w:id="0">
    <w:p w14:paraId="332EB10D" w14:textId="77777777" w:rsidR="00957C7D" w:rsidRDefault="0095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AB2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3629F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2328"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B32E5">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50B88CAC"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4AF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1005EBE" wp14:editId="263F63E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8E7AC2B" wp14:editId="1AC4CA0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A868725" wp14:editId="65FB56C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63DF7CC" wp14:editId="42583A9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4DCC2824" wp14:editId="2C2CC7E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C293" w14:textId="77777777" w:rsidR="00957C7D" w:rsidRDefault="00957C7D">
      <w:r>
        <w:separator/>
      </w:r>
    </w:p>
  </w:footnote>
  <w:footnote w:type="continuationSeparator" w:id="0">
    <w:p w14:paraId="210F7296" w14:textId="77777777" w:rsidR="00957C7D" w:rsidRDefault="0095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6A0C" w14:textId="77777777"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9DEFF8" wp14:editId="570BC673">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D555C" w14:textId="77777777"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14:paraId="2DC09AF7" w14:textId="4DE16743"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772388">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DEFF8"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14:paraId="4CFD555C" w14:textId="77777777"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14:paraId="2DC09AF7" w14:textId="4DE16743"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772388">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79C8FCF2" wp14:editId="2E9CC195">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2B0226E" w14:textId="77777777" w:rsidR="004119E4" w:rsidRDefault="004119E4" w:rsidP="00BF6032">
    <w:pPr>
      <w:pStyle w:val="Encabezado"/>
      <w:tabs>
        <w:tab w:val="left" w:pos="4860"/>
      </w:tabs>
      <w:ind w:right="846"/>
      <w:jc w:val="right"/>
      <w:rPr>
        <w:rFonts w:ascii="Romana BT" w:hAnsi="Romana BT"/>
        <w:b/>
        <w:sz w:val="16"/>
        <w:szCs w:val="16"/>
      </w:rPr>
    </w:pPr>
  </w:p>
  <w:p w14:paraId="7A25B3A8" w14:textId="77777777"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5D66" w14:textId="77777777"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EBB39BC" wp14:editId="7FA2BB82">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63"/>
      </v:shape>
    </w:pict>
  </w:numPicBullet>
  <w:numPicBullet w:numPicBulletId="1">
    <w:pict>
      <v:shape id="_x0000_i1075" type="#_x0000_t75" style="width:30.75pt;height:30.75pt" o:bullet="t">
        <v:imagedata r:id="rId2" o:title="Viñeta"/>
      </v:shape>
    </w:pict>
  </w:numPicBullet>
  <w:numPicBullet w:numPicBulletId="2">
    <w:pict>
      <v:shape id="_x0000_i107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554DE"/>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37D27"/>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C303C"/>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0C"/>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2388"/>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2FCF"/>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57C7D"/>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0C7"/>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1ADD"/>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32E5"/>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39F62734"/>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1A47C-FB8D-4394-A6BA-182D7B4B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2024-07-29T17:01:00Z</cp:lastPrinted>
  <dcterms:created xsi:type="dcterms:W3CDTF">2024-07-29T17:01:00Z</dcterms:created>
  <dcterms:modified xsi:type="dcterms:W3CDTF">2024-07-29T17:01:00Z</dcterms:modified>
</cp:coreProperties>
</file>