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AAFD4" w14:textId="77777777" w:rsidR="006632B1" w:rsidRPr="006632B1" w:rsidRDefault="006632B1" w:rsidP="006632B1">
      <w:pPr>
        <w:autoSpaceDE w:val="0"/>
        <w:autoSpaceDN w:val="0"/>
        <w:adjustRightInd w:val="0"/>
        <w:jc w:val="center"/>
        <w:rPr>
          <w:rFonts w:eastAsia="Calibri"/>
          <w:b/>
          <w:iCs w:val="0"/>
          <w:color w:val="9E213D"/>
          <w:sz w:val="28"/>
          <w:szCs w:val="28"/>
          <w:lang w:val="es-MX" w:eastAsia="en-US"/>
        </w:rPr>
      </w:pPr>
      <w:r w:rsidRPr="006632B1">
        <w:rPr>
          <w:rFonts w:eastAsia="Calibri"/>
          <w:b/>
          <w:iCs w:val="0"/>
          <w:color w:val="9E213D"/>
          <w:sz w:val="28"/>
          <w:szCs w:val="28"/>
          <w:lang w:val="es-MX" w:eastAsia="en-US"/>
        </w:rPr>
        <w:t>Notas a los estados financieros consolidados</w:t>
      </w:r>
    </w:p>
    <w:p w14:paraId="3E70A4F3" w14:textId="77777777" w:rsidR="006D1CBA" w:rsidRPr="006D1CBA" w:rsidRDefault="006D1CBA" w:rsidP="006D1CBA">
      <w:pPr>
        <w:jc w:val="center"/>
        <w:rPr>
          <w:rFonts w:eastAsia="Calibri" w:cs="Times New Roman"/>
          <w:color w:val="9E213D"/>
          <w:sz w:val="24"/>
          <w:szCs w:val="24"/>
          <w:lang w:val="es-MX" w:eastAsia="en-US"/>
        </w:rPr>
      </w:pPr>
      <w:r w:rsidRPr="006D1CBA">
        <w:rPr>
          <w:rFonts w:eastAsia="Calibri" w:cs="Times New Roman"/>
          <w:iCs w:val="0"/>
          <w:color w:val="9E213D"/>
          <w:sz w:val="24"/>
          <w:szCs w:val="24"/>
          <w:lang w:val="es-MX" w:eastAsia="en-US"/>
        </w:rPr>
        <w:t>DEL 1 DE ENERO AL 30 DE JUNIO DE 2024</w:t>
      </w:r>
    </w:p>
    <w:p w14:paraId="0274D546" w14:textId="77777777" w:rsidR="006D1CBA" w:rsidRPr="006D1CBA" w:rsidRDefault="006D1CBA" w:rsidP="006D1CBA">
      <w:pPr>
        <w:jc w:val="center"/>
        <w:rPr>
          <w:rFonts w:eastAsia="Calibri" w:cs="Times New Roman"/>
          <w:color w:val="9E213D"/>
          <w:sz w:val="24"/>
          <w:szCs w:val="24"/>
          <w:lang w:val="es-MX" w:eastAsia="en-US"/>
        </w:rPr>
      </w:pPr>
      <w:r w:rsidRPr="006D1CBA">
        <w:rPr>
          <w:rFonts w:eastAsia="Calibri" w:cs="Times New Roman"/>
          <w:iCs w:val="0"/>
          <w:color w:val="9E213D"/>
          <w:sz w:val="24"/>
          <w:szCs w:val="24"/>
          <w:lang w:val="es-MX" w:eastAsia="en-US"/>
        </w:rPr>
        <w:t>(Cifras en pesos)</w:t>
      </w:r>
    </w:p>
    <w:p w14:paraId="57268D7C" w14:textId="77777777" w:rsidR="006D1CBA" w:rsidRPr="006D1CBA" w:rsidRDefault="006D1CBA" w:rsidP="006D1CBA">
      <w:pPr>
        <w:jc w:val="both"/>
        <w:outlineLvl w:val="0"/>
        <w:rPr>
          <w:rFonts w:eastAsia="Calibri" w:cs="Times New Roman"/>
          <w:szCs w:val="22"/>
          <w:lang w:val="es-MX" w:eastAsia="en-US"/>
        </w:rPr>
      </w:pPr>
      <w:bookmarkStart w:id="0" w:name="_Hlk117854077"/>
    </w:p>
    <w:bookmarkEnd w:id="0"/>
    <w:p w14:paraId="7D0EAA95" w14:textId="77777777" w:rsidR="006D1CBA" w:rsidRPr="006D1CBA" w:rsidRDefault="006D1CBA" w:rsidP="006D1CBA">
      <w:pPr>
        <w:jc w:val="both"/>
        <w:rPr>
          <w:rFonts w:eastAsia="Calibri" w:cs="Times New Roman"/>
          <w:b/>
          <w:bCs/>
          <w:iCs w:val="0"/>
          <w:sz w:val="24"/>
          <w:szCs w:val="22"/>
          <w:lang w:val="es-MX" w:eastAsia="en-US"/>
        </w:rPr>
      </w:pPr>
      <w:r w:rsidRPr="006D1CBA">
        <w:rPr>
          <w:rFonts w:eastAsia="Calibri" w:cs="Times New Roman"/>
          <w:b/>
          <w:bCs/>
          <w:iCs w:val="0"/>
          <w:sz w:val="24"/>
          <w:szCs w:val="22"/>
          <w:lang w:val="es-MX" w:eastAsia="en-US"/>
        </w:rPr>
        <w:t>Introducción</w:t>
      </w:r>
    </w:p>
    <w:p w14:paraId="36B3137C" w14:textId="77777777" w:rsidR="006D1CBA" w:rsidRPr="006D1CBA" w:rsidRDefault="006D1CBA" w:rsidP="006D1CBA">
      <w:pPr>
        <w:jc w:val="both"/>
        <w:rPr>
          <w:rFonts w:eastAsia="Calibri" w:cs="Times New Roman"/>
          <w:bCs/>
          <w:iCs w:val="0"/>
          <w:szCs w:val="22"/>
          <w:lang w:val="es-MX" w:eastAsia="en-US"/>
        </w:rPr>
      </w:pPr>
    </w:p>
    <w:p w14:paraId="0EFF518B" w14:textId="77777777" w:rsidR="006D1CBA" w:rsidRPr="006D1CBA" w:rsidRDefault="006D1CBA" w:rsidP="006D1CBA">
      <w:pPr>
        <w:jc w:val="both"/>
        <w:rPr>
          <w:rFonts w:eastAsia="Calibri" w:cs="Times New Roman"/>
          <w:bCs/>
          <w:iCs w:val="0"/>
          <w:szCs w:val="22"/>
          <w:lang w:val="es-MX" w:eastAsia="en-US"/>
        </w:rPr>
      </w:pPr>
      <w:r w:rsidRPr="006D1CBA">
        <w:rPr>
          <w:rFonts w:eastAsia="Calibri" w:cs="Times New Roman"/>
          <w:bCs/>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30 de junio de 2024, con los siguientes apartados:</w:t>
      </w:r>
    </w:p>
    <w:p w14:paraId="73E7FEA2" w14:textId="77777777" w:rsidR="006D1CBA" w:rsidRPr="006D1CBA" w:rsidRDefault="006D1CBA" w:rsidP="006D1CBA">
      <w:pPr>
        <w:jc w:val="both"/>
        <w:rPr>
          <w:rFonts w:eastAsia="Calibri" w:cs="Times New Roman"/>
          <w:bCs/>
          <w:iCs w:val="0"/>
          <w:szCs w:val="22"/>
          <w:lang w:val="es-MX" w:eastAsia="en-US"/>
        </w:rPr>
      </w:pPr>
    </w:p>
    <w:p w14:paraId="26209573" w14:textId="77777777" w:rsidR="006D1CBA" w:rsidRPr="006D1CBA" w:rsidRDefault="006D1CBA" w:rsidP="006D1CBA">
      <w:pPr>
        <w:numPr>
          <w:ilvl w:val="0"/>
          <w:numId w:val="8"/>
        </w:numPr>
        <w:spacing w:after="120"/>
        <w:ind w:left="357" w:hanging="357"/>
        <w:jc w:val="both"/>
        <w:rPr>
          <w:rFonts w:eastAsia="Calibri" w:cs="Times New Roman"/>
          <w:bCs/>
          <w:iCs w:val="0"/>
          <w:caps/>
          <w:szCs w:val="22"/>
          <w:lang w:val="es-MX" w:eastAsia="es-MX"/>
        </w:rPr>
      </w:pPr>
      <w:r w:rsidRPr="006D1CBA">
        <w:rPr>
          <w:rFonts w:eastAsia="Calibri" w:cs="Times New Roman"/>
          <w:bCs/>
          <w:iCs w:val="0"/>
          <w:szCs w:val="22"/>
          <w:lang w:val="es-MX" w:eastAsia="es-MX"/>
        </w:rPr>
        <w:t>Notas de gestión administrativa</w:t>
      </w:r>
    </w:p>
    <w:p w14:paraId="4B121559" w14:textId="77777777" w:rsidR="006D1CBA" w:rsidRPr="006D1CBA" w:rsidRDefault="006D1CBA" w:rsidP="006D1CBA">
      <w:pPr>
        <w:numPr>
          <w:ilvl w:val="0"/>
          <w:numId w:val="8"/>
        </w:numPr>
        <w:spacing w:after="120"/>
        <w:ind w:left="357" w:hanging="357"/>
        <w:jc w:val="both"/>
        <w:rPr>
          <w:rFonts w:eastAsia="Calibri" w:cs="Times New Roman"/>
          <w:bCs/>
          <w:iCs w:val="0"/>
          <w:caps/>
          <w:szCs w:val="22"/>
          <w:lang w:val="es-MX" w:eastAsia="es-MX"/>
        </w:rPr>
      </w:pPr>
      <w:r w:rsidRPr="006D1CBA">
        <w:rPr>
          <w:rFonts w:eastAsia="Calibri" w:cs="Times New Roman"/>
          <w:bCs/>
          <w:iCs w:val="0"/>
          <w:szCs w:val="22"/>
          <w:lang w:val="es-MX" w:eastAsia="es-MX"/>
        </w:rPr>
        <w:t>Notas de desglose, y</w:t>
      </w:r>
    </w:p>
    <w:p w14:paraId="0FC9D67F" w14:textId="77777777" w:rsidR="006D1CBA" w:rsidRPr="006D1CBA" w:rsidRDefault="006D1CBA" w:rsidP="006D1CBA">
      <w:pPr>
        <w:numPr>
          <w:ilvl w:val="0"/>
          <w:numId w:val="8"/>
        </w:numPr>
        <w:spacing w:after="120"/>
        <w:ind w:left="357" w:hanging="357"/>
        <w:jc w:val="both"/>
        <w:rPr>
          <w:rFonts w:eastAsia="Calibri" w:cs="Times New Roman"/>
          <w:bCs/>
          <w:iCs w:val="0"/>
          <w:szCs w:val="22"/>
          <w:lang w:val="es-MX" w:eastAsia="es-MX"/>
        </w:rPr>
      </w:pPr>
      <w:r w:rsidRPr="006D1CBA">
        <w:rPr>
          <w:rFonts w:eastAsia="Calibri" w:cs="Times New Roman"/>
          <w:bCs/>
          <w:iCs w:val="0"/>
          <w:szCs w:val="22"/>
          <w:lang w:val="es-MX" w:eastAsia="es-MX"/>
        </w:rPr>
        <w:t>Notas de memoria (cuentas de orden)</w:t>
      </w:r>
    </w:p>
    <w:p w14:paraId="4D366D79" w14:textId="77777777" w:rsidR="006D1CBA" w:rsidRPr="006D1CBA" w:rsidRDefault="006D1CBA" w:rsidP="006D1CBA">
      <w:pPr>
        <w:jc w:val="both"/>
        <w:rPr>
          <w:rFonts w:eastAsia="Calibri" w:cs="Times New Roman"/>
          <w:bCs/>
          <w:iCs w:val="0"/>
          <w:caps/>
          <w:szCs w:val="22"/>
          <w:lang w:val="es-MX" w:eastAsia="en-US"/>
        </w:rPr>
      </w:pPr>
    </w:p>
    <w:p w14:paraId="3C12A2A9" w14:textId="77777777" w:rsidR="006D1CBA" w:rsidRPr="006D1CBA" w:rsidRDefault="006D1CBA" w:rsidP="006D1CBA">
      <w:pPr>
        <w:jc w:val="both"/>
        <w:rPr>
          <w:rFonts w:eastAsia="Calibri" w:cs="Times New Roman"/>
          <w:b/>
          <w:bCs/>
          <w:iCs w:val="0"/>
          <w:caps/>
          <w:szCs w:val="22"/>
          <w:lang w:val="es-MX" w:eastAsia="en-US"/>
        </w:rPr>
      </w:pPr>
      <w:r w:rsidRPr="006D1CBA">
        <w:rPr>
          <w:rFonts w:eastAsia="Calibri" w:cs="Times New Roman"/>
          <w:bCs/>
          <w:iCs w:val="0"/>
          <w:szCs w:val="22"/>
          <w:lang w:val="es-MX" w:eastAsia="en-US"/>
        </w:rPr>
        <w:t>Las cifras mostradas al 30 de junio de 2024,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31F6EFDB" w14:textId="77777777" w:rsidR="006D1CBA" w:rsidRPr="006D1CBA" w:rsidRDefault="006D1CBA" w:rsidP="006D1CBA">
      <w:pPr>
        <w:ind w:right="567"/>
        <w:jc w:val="both"/>
        <w:rPr>
          <w:rFonts w:eastAsia="Calibri" w:cs="Times New Roman"/>
          <w:b/>
          <w:bCs/>
          <w:iCs w:val="0"/>
          <w:caps/>
          <w:szCs w:val="22"/>
          <w:lang w:val="es-MX" w:eastAsia="en-US"/>
        </w:rPr>
      </w:pPr>
    </w:p>
    <w:p w14:paraId="695C82D1" w14:textId="77777777" w:rsidR="006D1CBA" w:rsidRPr="006D1CBA" w:rsidRDefault="006D1CBA" w:rsidP="006D1CBA">
      <w:pPr>
        <w:ind w:right="567"/>
        <w:jc w:val="both"/>
        <w:rPr>
          <w:rFonts w:eastAsia="Calibri" w:cs="Times New Roman"/>
          <w:b/>
          <w:bCs/>
          <w:iCs w:val="0"/>
          <w:caps/>
          <w:szCs w:val="22"/>
          <w:lang w:val="es-MX" w:eastAsia="en-US"/>
        </w:rPr>
      </w:pPr>
    </w:p>
    <w:p w14:paraId="1D137919" w14:textId="77777777" w:rsidR="006D1CBA" w:rsidRPr="006D1CBA" w:rsidRDefault="006D1CBA" w:rsidP="006D1CBA">
      <w:pPr>
        <w:jc w:val="both"/>
        <w:rPr>
          <w:rFonts w:eastAsia="Calibri" w:cs="Times New Roman"/>
          <w:b/>
          <w:bCs/>
          <w:iCs w:val="0"/>
          <w:sz w:val="24"/>
          <w:szCs w:val="22"/>
          <w:lang w:val="es-MX" w:eastAsia="en-US"/>
        </w:rPr>
      </w:pPr>
      <w:bookmarkStart w:id="1" w:name="_Hlk125467046"/>
      <w:r w:rsidRPr="006D1CBA">
        <w:rPr>
          <w:rFonts w:eastAsia="Calibri" w:cs="Times New Roman"/>
          <w:b/>
          <w:bCs/>
          <w:iCs w:val="0"/>
          <w:sz w:val="24"/>
          <w:szCs w:val="22"/>
          <w:lang w:val="es-MX" w:eastAsia="en-US"/>
        </w:rPr>
        <w:t>Notas de gestión administrativa</w:t>
      </w:r>
    </w:p>
    <w:p w14:paraId="0F198083"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6063DF8E"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r w:rsidRPr="006D1CBA">
        <w:rPr>
          <w:rFonts w:eastAsia="Calibri" w:cs="Times New Roman"/>
          <w:iCs w:val="0"/>
          <w:szCs w:val="22"/>
          <w:lang w:val="es-MX" w:eastAsia="en-US"/>
        </w:rPr>
        <w:t>Las notas de gestión administrativa de las Entidades Paraestatales y Fideicomisos No Empresariales y No Financieros, son producto de las notas de cada entidad que lo conforman, mismas que pueden ser consultadas en cada ente público.</w:t>
      </w:r>
    </w:p>
    <w:p w14:paraId="72842CBD"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p>
    <w:p w14:paraId="53B54CEA" w14:textId="77777777" w:rsidR="006D1CBA" w:rsidRPr="006D1CBA" w:rsidRDefault="006D1CBA" w:rsidP="006D1CBA">
      <w:pPr>
        <w:jc w:val="both"/>
        <w:rPr>
          <w:rFonts w:eastAsia="Calibri" w:cs="Times New Roman"/>
          <w:iCs w:val="0"/>
          <w:szCs w:val="22"/>
          <w:lang w:val="es-MX" w:eastAsia="en-US"/>
        </w:rPr>
      </w:pPr>
    </w:p>
    <w:p w14:paraId="6D548964" w14:textId="77777777" w:rsidR="006D1CBA" w:rsidRPr="006D1CBA" w:rsidRDefault="006D1CBA" w:rsidP="006D1CBA">
      <w:pPr>
        <w:jc w:val="both"/>
        <w:rPr>
          <w:rFonts w:eastAsia="Calibri" w:cs="Times New Roman"/>
          <w:b/>
          <w:bCs/>
          <w:iCs w:val="0"/>
          <w:sz w:val="24"/>
          <w:szCs w:val="22"/>
          <w:lang w:val="es-MX" w:eastAsia="en-US"/>
        </w:rPr>
      </w:pPr>
      <w:r w:rsidRPr="006D1CBA">
        <w:rPr>
          <w:rFonts w:eastAsia="Calibri" w:cs="Times New Roman"/>
          <w:b/>
          <w:bCs/>
          <w:iCs w:val="0"/>
          <w:sz w:val="24"/>
          <w:szCs w:val="22"/>
          <w:lang w:val="es-MX" w:eastAsia="en-US"/>
        </w:rPr>
        <w:t>Notas de desglose</w:t>
      </w:r>
    </w:p>
    <w:p w14:paraId="5F27C01B" w14:textId="77777777" w:rsidR="006D1CBA" w:rsidRPr="006D1CBA" w:rsidRDefault="006D1CBA" w:rsidP="006D1CBA">
      <w:pPr>
        <w:spacing w:line="276" w:lineRule="auto"/>
        <w:jc w:val="both"/>
        <w:outlineLvl w:val="0"/>
        <w:rPr>
          <w:rFonts w:eastAsia="Calibri" w:cs="Times New Roman"/>
          <w:b/>
          <w:bCs/>
          <w:iCs w:val="0"/>
          <w:szCs w:val="22"/>
          <w:lang w:val="es-MX" w:eastAsia="en-US"/>
        </w:rPr>
      </w:pPr>
    </w:p>
    <w:p w14:paraId="1301B28A" w14:textId="77777777" w:rsidR="006D1CBA" w:rsidRPr="006D1CBA" w:rsidRDefault="006D1CBA" w:rsidP="006D1CBA">
      <w:pPr>
        <w:jc w:val="both"/>
        <w:rPr>
          <w:rFonts w:eastAsia="Calibri" w:cs="Times New Roman"/>
          <w:b/>
          <w:bCs/>
          <w:caps/>
          <w:szCs w:val="22"/>
          <w:lang w:val="es-MX" w:eastAsia="en-US"/>
        </w:rPr>
      </w:pPr>
      <w:r w:rsidRPr="006D1CBA">
        <w:rPr>
          <w:rFonts w:eastAsia="Calibri" w:cs="Times New Roman"/>
          <w:b/>
          <w:bCs/>
          <w:iCs w:val="0"/>
          <w:szCs w:val="22"/>
          <w:lang w:val="es-MX" w:eastAsia="en-US"/>
        </w:rPr>
        <w:t>Notas al estado de actividades</w:t>
      </w:r>
    </w:p>
    <w:p w14:paraId="432B0CBC" w14:textId="77777777" w:rsidR="006D1CBA" w:rsidRPr="006D1CBA" w:rsidRDefault="006D1CBA" w:rsidP="006D1CBA">
      <w:pPr>
        <w:jc w:val="both"/>
        <w:outlineLvl w:val="0"/>
        <w:rPr>
          <w:rFonts w:eastAsia="Calibri" w:cs="Times New Roman"/>
          <w:iCs w:val="0"/>
          <w:szCs w:val="22"/>
          <w:lang w:val="es-MX" w:eastAsia="en-US"/>
        </w:rPr>
      </w:pPr>
    </w:p>
    <w:p w14:paraId="65944F67"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El resultado positivo obtenido del 1 de enero al 30 de junio de 2024, que asciende a $ 8,666,639,581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14:paraId="05B70AB9" w14:textId="77777777" w:rsidR="006D1CBA" w:rsidRPr="006D1CBA" w:rsidRDefault="006D1CBA" w:rsidP="006D1CBA">
      <w:pPr>
        <w:jc w:val="both"/>
        <w:outlineLvl w:val="0"/>
        <w:rPr>
          <w:rFonts w:eastAsia="Calibri" w:cs="Times New Roman"/>
          <w:iCs w:val="0"/>
          <w:szCs w:val="22"/>
          <w:lang w:val="es-MX" w:eastAsia="en-US"/>
        </w:rPr>
      </w:pPr>
    </w:p>
    <w:p w14:paraId="5A2308B0"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Ingresos y otros beneficios</w:t>
      </w:r>
    </w:p>
    <w:p w14:paraId="0D112B98" w14:textId="77777777" w:rsidR="006D1CBA" w:rsidRPr="006D1CBA" w:rsidRDefault="006D1CBA" w:rsidP="006D1CBA">
      <w:pPr>
        <w:jc w:val="both"/>
        <w:outlineLvl w:val="0"/>
        <w:rPr>
          <w:rFonts w:eastAsia="Calibri" w:cs="Times New Roman"/>
          <w:iCs w:val="0"/>
          <w:szCs w:val="22"/>
          <w:lang w:val="es-MX" w:eastAsia="en-US"/>
        </w:rPr>
      </w:pPr>
    </w:p>
    <w:p w14:paraId="66C23005"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 xml:space="preserve">Los ingresos ascienden a $ 16,978,735,314 pesos, estos son originados principalmente por las ministraciones a las entidades, recibidos a través de participaciones, aportaciones, convenios, incentivos derivados de la colaboración fiscal y fondo distintos de aportaciones, así como de las transferencias, asignaciones, subsidios y subvenciones, y pensiones y jubilaciones. Además, este rubro se integra por los ingresos por venta de bienes y prestación de servicios derivados de la captación de recursos a través de conceptos como: certificados parciales o de estudio, expedición de credenciales y/o reposición, exámenes, servicios derivados de actividades educacionales, inscripciones / reinscripciones; prestados por las Entidades Paraestatales y Fideicomisos No Empresariales y No Financieros. </w:t>
      </w:r>
    </w:p>
    <w:p w14:paraId="42B92CCC" w14:textId="77777777" w:rsidR="006D1CBA" w:rsidRPr="006D1CBA" w:rsidRDefault="006D1CBA" w:rsidP="006D1CBA">
      <w:pPr>
        <w:jc w:val="both"/>
        <w:outlineLvl w:val="0"/>
        <w:rPr>
          <w:rFonts w:eastAsia="Calibri" w:cs="Times New Roman"/>
          <w:iCs w:val="0"/>
          <w:szCs w:val="22"/>
          <w:lang w:val="es-MX" w:eastAsia="en-US"/>
        </w:rPr>
      </w:pPr>
    </w:p>
    <w:p w14:paraId="54F8670C"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Así mismo, en este rubro se registran, los ingresos obtenidos por rendimientos bancarios, así como, por redondeos a favor por concepto de pagos de facturas e impuestos, apertura de cuentas bancarias, bonificaciones, reintegros, entre otros.</w:t>
      </w:r>
    </w:p>
    <w:p w14:paraId="58962880" w14:textId="77777777" w:rsidR="006D1CBA" w:rsidRPr="006D1CBA" w:rsidRDefault="006D1CBA" w:rsidP="006D1CBA">
      <w:pPr>
        <w:jc w:val="both"/>
        <w:outlineLvl w:val="0"/>
        <w:rPr>
          <w:rFonts w:eastAsia="Calibri" w:cs="Times New Roman"/>
          <w:iCs w:val="0"/>
          <w:szCs w:val="22"/>
          <w:lang w:val="es-MX" w:eastAsia="en-US"/>
        </w:rPr>
      </w:pPr>
    </w:p>
    <w:p w14:paraId="139C9AFB"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Gastos y otras pérdidas</w:t>
      </w:r>
    </w:p>
    <w:p w14:paraId="79F258E9"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6149D8A8"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 xml:space="preserve">Los gastos y otras pérdidas son aquellas cuentas que registran los gastos de funcionamiento de las Entidades Paraestatales y Fideicomisos No Empresariales y No Financieros, las transferencias, asignaciones, subsidios y otras </w:t>
      </w:r>
      <w:r w:rsidRPr="006D1CBA">
        <w:rPr>
          <w:rFonts w:eastAsia="Calibri" w:cs="Times New Roman"/>
          <w:iCs w:val="0"/>
          <w:szCs w:val="22"/>
          <w:lang w:val="es-MX" w:eastAsia="en-US"/>
        </w:rPr>
        <w:lastRenderedPageBreak/>
        <w:t>ayudas, así como la disminución de bienes por pérdida u obsolescencia, además la disminución de inventarios de mercancía para venta.</w:t>
      </w:r>
    </w:p>
    <w:p w14:paraId="6909822A" w14:textId="77777777" w:rsidR="006D1CBA" w:rsidRPr="006D1CBA" w:rsidRDefault="006D1CBA" w:rsidP="006D1CBA">
      <w:pPr>
        <w:jc w:val="both"/>
        <w:outlineLvl w:val="0"/>
        <w:rPr>
          <w:rFonts w:eastAsia="Calibri" w:cs="Times New Roman"/>
          <w:iCs w:val="0"/>
          <w:szCs w:val="22"/>
          <w:lang w:val="es-MX" w:eastAsia="en-US"/>
        </w:rPr>
      </w:pPr>
    </w:p>
    <w:p w14:paraId="2CD37CFF"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También se encuentran los redondeos a cargo por concepto de facturas e impuestos, así como, los registros de aquellos bienes enajenables e inventariables, cuyo costo unitario de adquisición no sobrepasa 70 veces el valor diario de la Unidad de Medida y Actualización (UMA), al 30 de junio de 2024.</w:t>
      </w:r>
    </w:p>
    <w:p w14:paraId="486F0027" w14:textId="77777777" w:rsidR="006D1CBA" w:rsidRPr="006D1CBA" w:rsidRDefault="006D1CBA" w:rsidP="006D1CBA">
      <w:pPr>
        <w:jc w:val="both"/>
        <w:outlineLvl w:val="0"/>
        <w:rPr>
          <w:rFonts w:eastAsia="Calibri" w:cs="Times New Roman"/>
          <w:iCs w:val="0"/>
          <w:szCs w:val="22"/>
          <w:lang w:val="es-MX" w:eastAsia="en-US"/>
        </w:rPr>
      </w:pPr>
    </w:p>
    <w:p w14:paraId="6565B6E0"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Este rubro asciende a un importe de $8,312,095,733 pesos.</w:t>
      </w:r>
    </w:p>
    <w:p w14:paraId="0A259FFF" w14:textId="77777777" w:rsidR="006D1CBA" w:rsidRPr="006D1CBA" w:rsidRDefault="006D1CBA" w:rsidP="006D1CBA">
      <w:pPr>
        <w:jc w:val="both"/>
        <w:outlineLvl w:val="0"/>
        <w:rPr>
          <w:rFonts w:eastAsia="Calibri" w:cs="Times New Roman"/>
          <w:iCs w:val="0"/>
          <w:szCs w:val="22"/>
          <w:lang w:val="es-MX" w:eastAsia="en-US"/>
        </w:rPr>
      </w:pPr>
    </w:p>
    <w:p w14:paraId="6077AD56" w14:textId="77777777" w:rsidR="006D1CBA" w:rsidRPr="006D1CBA" w:rsidRDefault="006D1CBA" w:rsidP="006D1CBA">
      <w:pPr>
        <w:jc w:val="both"/>
        <w:rPr>
          <w:rFonts w:eastAsia="Calibri" w:cs="Times New Roman"/>
          <w:b/>
          <w:bCs/>
          <w:caps/>
          <w:szCs w:val="22"/>
          <w:lang w:val="es-MX" w:eastAsia="en-US"/>
        </w:rPr>
      </w:pPr>
      <w:r w:rsidRPr="006D1CBA">
        <w:rPr>
          <w:rFonts w:eastAsia="Calibri" w:cs="Times New Roman"/>
          <w:b/>
          <w:bCs/>
          <w:iCs w:val="0"/>
          <w:szCs w:val="22"/>
          <w:lang w:val="es-MX" w:eastAsia="en-US"/>
        </w:rPr>
        <w:t>Notas al estado de situación financiera</w:t>
      </w:r>
    </w:p>
    <w:p w14:paraId="6A41A2D1" w14:textId="77777777" w:rsidR="006D1CBA" w:rsidRPr="006D1CBA" w:rsidRDefault="006D1CBA" w:rsidP="006D1CBA">
      <w:pPr>
        <w:jc w:val="both"/>
        <w:outlineLvl w:val="0"/>
        <w:rPr>
          <w:rFonts w:eastAsia="Calibri" w:cs="Times New Roman"/>
          <w:b/>
          <w:bCs/>
          <w:iCs w:val="0"/>
          <w:szCs w:val="22"/>
          <w:lang w:val="es-MX" w:eastAsia="en-US"/>
        </w:rPr>
      </w:pPr>
    </w:p>
    <w:p w14:paraId="73101F50"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Activo</w:t>
      </w:r>
    </w:p>
    <w:p w14:paraId="4C8E35C6" w14:textId="77777777" w:rsidR="006D1CBA" w:rsidRPr="006D1CBA" w:rsidRDefault="006D1CBA" w:rsidP="006D1CBA">
      <w:pPr>
        <w:jc w:val="both"/>
        <w:rPr>
          <w:rFonts w:eastAsia="Calibri" w:cs="Times New Roman"/>
          <w:iCs w:val="0"/>
          <w:szCs w:val="22"/>
          <w:lang w:val="es-MX" w:eastAsia="en-US"/>
        </w:rPr>
      </w:pPr>
    </w:p>
    <w:bookmarkEnd w:id="1"/>
    <w:p w14:paraId="06B1D48F" w14:textId="77777777" w:rsidR="006D1CBA" w:rsidRPr="006D1CBA" w:rsidRDefault="006D1CBA" w:rsidP="006D1CBA">
      <w:pPr>
        <w:jc w:val="both"/>
        <w:rPr>
          <w:rFonts w:eastAsia="Calibri" w:cs="Times New Roman"/>
          <w:bCs/>
          <w:iCs w:val="0"/>
          <w:szCs w:val="22"/>
          <w:lang w:val="es-MX" w:eastAsia="en-US"/>
        </w:rPr>
      </w:pPr>
      <w:r w:rsidRPr="006D1CBA">
        <w:rPr>
          <w:rFonts w:eastAsia="Calibri" w:cs="Times New Roman"/>
          <w:bCs/>
          <w:iCs w:val="0"/>
          <w:szCs w:val="22"/>
          <w:lang w:val="es-MX" w:eastAsia="en-US"/>
        </w:rPr>
        <w:t xml:space="preserve">El activo se compone de los fondos, valores, derechos y bienes cuantificados en términos monetarios, los cuales controlan y disponen las Entidades Paraestatales y Fideicomisos No Empresariales y No Financieros para la prestación de servicios públicos, éste se integra como sigue: </w:t>
      </w:r>
    </w:p>
    <w:p w14:paraId="6F342D71" w14:textId="77777777" w:rsidR="006D1CBA" w:rsidRPr="006D1CBA" w:rsidRDefault="006D1CBA" w:rsidP="006D1CBA">
      <w:pPr>
        <w:jc w:val="both"/>
        <w:rPr>
          <w:rFonts w:eastAsia="Calibri" w:cs="Times New Roman"/>
          <w:iCs w:val="0"/>
          <w:szCs w:val="22"/>
          <w:lang w:val="es-MX" w:eastAsia="en-US"/>
        </w:rPr>
      </w:pPr>
    </w:p>
    <w:p w14:paraId="3FC02A6F" w14:textId="77777777" w:rsidR="006D1CBA" w:rsidRPr="006D1CBA" w:rsidRDefault="006D1CBA" w:rsidP="006D1CBA">
      <w:pPr>
        <w:jc w:val="both"/>
        <w:rPr>
          <w:rFonts w:eastAsia="Calibri" w:cs="Times New Roman"/>
          <w:b/>
          <w:bCs/>
          <w:szCs w:val="22"/>
          <w:lang w:val="es-MX" w:eastAsia="en-US"/>
        </w:rPr>
      </w:pPr>
      <w:bookmarkStart w:id="2" w:name="_Hlk125467084"/>
      <w:r w:rsidRPr="006D1CBA">
        <w:rPr>
          <w:rFonts w:eastAsia="Calibri" w:cs="Times New Roman"/>
          <w:b/>
          <w:bCs/>
          <w:iCs w:val="0"/>
          <w:szCs w:val="22"/>
          <w:lang w:val="es-MX" w:eastAsia="en-US"/>
        </w:rPr>
        <w:t>Circulante</w:t>
      </w:r>
    </w:p>
    <w:bookmarkEnd w:id="2"/>
    <w:p w14:paraId="4A28AAD5" w14:textId="77777777" w:rsidR="006D1CBA" w:rsidRPr="006D1CBA" w:rsidRDefault="006D1CBA" w:rsidP="006D1CBA">
      <w:pPr>
        <w:jc w:val="both"/>
        <w:rPr>
          <w:rFonts w:eastAsia="Calibri" w:cs="Times New Roman"/>
          <w:iCs w:val="0"/>
          <w:szCs w:val="22"/>
          <w:lang w:val="es-MX" w:eastAsia="en-US"/>
        </w:rPr>
      </w:pPr>
    </w:p>
    <w:p w14:paraId="152E844C" w14:textId="77777777" w:rsidR="006D1CBA" w:rsidRPr="006D1CBA" w:rsidRDefault="006D1CBA" w:rsidP="006D1CBA">
      <w:pPr>
        <w:autoSpaceDE w:val="0"/>
        <w:autoSpaceDN w:val="0"/>
        <w:adjustRightInd w:val="0"/>
        <w:jc w:val="center"/>
        <w:rPr>
          <w:rFonts w:eastAsia="Calibri" w:cs="Times New Roman"/>
          <w:b/>
          <w:bCs/>
          <w:iCs w:val="0"/>
          <w:szCs w:val="22"/>
          <w:lang w:val="es-MX" w:eastAsia="en-US"/>
        </w:rPr>
      </w:pPr>
      <w:r w:rsidRPr="006D1CBA">
        <w:rPr>
          <w:rFonts w:eastAsia="Calibri" w:cs="Times New Roman"/>
          <w:b/>
          <w:bCs/>
          <w:iCs w:val="0"/>
          <w:noProof/>
          <w:szCs w:val="22"/>
          <w:lang w:val="es-MX" w:eastAsia="en-US"/>
        </w:rPr>
        <w:drawing>
          <wp:inline distT="0" distB="0" distL="0" distR="0" wp14:anchorId="3B5B3213" wp14:editId="349CD759">
            <wp:extent cx="5292090" cy="2268220"/>
            <wp:effectExtent l="0" t="0" r="381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090" cy="2268220"/>
                    </a:xfrm>
                    <a:prstGeom prst="rect">
                      <a:avLst/>
                    </a:prstGeom>
                    <a:noFill/>
                  </pic:spPr>
                </pic:pic>
              </a:graphicData>
            </a:graphic>
          </wp:inline>
        </w:drawing>
      </w:r>
    </w:p>
    <w:p w14:paraId="3496260F"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7F3EEE1A"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2C4167CA"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Efectivo y equivalentes</w:t>
      </w:r>
    </w:p>
    <w:p w14:paraId="64376C19" w14:textId="77777777" w:rsidR="006D1CBA" w:rsidRPr="006D1CBA" w:rsidRDefault="006D1CBA" w:rsidP="006D1CBA">
      <w:pPr>
        <w:jc w:val="both"/>
        <w:outlineLvl w:val="0"/>
        <w:rPr>
          <w:rFonts w:eastAsia="Calibri" w:cs="Times New Roman"/>
          <w:bCs/>
          <w:i/>
          <w:szCs w:val="22"/>
          <w:lang w:val="es-MX" w:eastAsia="en-US"/>
        </w:rPr>
      </w:pPr>
    </w:p>
    <w:p w14:paraId="3D3AF25E"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Del 1 de enero al 30 de junio de 2024 este rubro, asciende a un monto de $ 10,555,418,375 pesos, y representa el 88.3 % del activo circulante, se integra principalmente por la disponibilidad financiera por las ministraciones radicadas para cubrir los compromisos de pago a proveedores y prestadores de servicios, así como impuestos retenidos y sueldos.</w:t>
      </w:r>
    </w:p>
    <w:p w14:paraId="1970E095"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1A648534"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Así también, se incluye el fondo revolvente y cuentas por gastos a comprobar asignado a funcionarios de las Entidades Paraestatales y Fideicomisos No Empresariales, para cubrir gastos menores y emergentes.</w:t>
      </w:r>
    </w:p>
    <w:p w14:paraId="1D56E3E6"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2971B763"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Además, este rubro registra lo siguiente:</w:t>
      </w:r>
    </w:p>
    <w:p w14:paraId="0A9519B9"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15088FFF" w14:textId="77777777" w:rsidR="006D1CBA" w:rsidRPr="006D1CBA" w:rsidRDefault="006D1CBA" w:rsidP="006D1CBA">
      <w:pPr>
        <w:numPr>
          <w:ilvl w:val="0"/>
          <w:numId w:val="2"/>
        </w:numPr>
        <w:spacing w:after="120"/>
        <w:ind w:left="357" w:hanging="357"/>
        <w:jc w:val="both"/>
        <w:rPr>
          <w:rFonts w:eastAsia="MS Mincho" w:cs="Times New Roman"/>
          <w:iCs w:val="0"/>
          <w:szCs w:val="22"/>
          <w:lang w:val="es-MX" w:eastAsia="es-MX"/>
        </w:rPr>
      </w:pPr>
      <w:r w:rsidRPr="006D1CBA">
        <w:rPr>
          <w:rFonts w:eastAsia="MS Mincho" w:cs="Times New Roman"/>
          <w:iCs w:val="0"/>
          <w:szCs w:val="22"/>
          <w:lang w:val="es-MX" w:eastAsia="es-MX"/>
        </w:rPr>
        <w:t>Ingresos Propios adquiridos a través de las diversas actividades de las Entidades Paraestatales y Fideicomisos No Empresariales y No Financieros.</w:t>
      </w:r>
    </w:p>
    <w:p w14:paraId="0488EF8C" w14:textId="77777777" w:rsidR="006D1CBA" w:rsidRPr="006D1CBA" w:rsidRDefault="006D1CBA" w:rsidP="006D1CBA">
      <w:pPr>
        <w:numPr>
          <w:ilvl w:val="0"/>
          <w:numId w:val="2"/>
        </w:numPr>
        <w:spacing w:after="120"/>
        <w:ind w:hanging="357"/>
        <w:jc w:val="both"/>
        <w:rPr>
          <w:rFonts w:eastAsia="MS Mincho" w:cs="Times New Roman"/>
          <w:iCs w:val="0"/>
          <w:szCs w:val="22"/>
          <w:lang w:val="es-MX" w:eastAsia="es-MX"/>
        </w:rPr>
      </w:pPr>
      <w:r w:rsidRPr="006D1CBA">
        <w:rPr>
          <w:rFonts w:eastAsia="MS Mincho" w:cs="Times New Roman"/>
          <w:iCs w:val="0"/>
          <w:szCs w:val="22"/>
          <w:lang w:val="es-MX" w:eastAsia="es-MX"/>
        </w:rPr>
        <w:t>Depósitos otorgados en favor de proyectos preventivos de mantenimiento de planteles educativos correspondiente al Instituto de la Infraestructura Física Educativa del Estado de Chiapas, para atender las necesidades de liquidez para su conservación, y con ello, se mantengan espacios escolares dignos.</w:t>
      </w:r>
    </w:p>
    <w:p w14:paraId="145A9365" w14:textId="77777777" w:rsidR="006D1CBA" w:rsidRPr="006D1CBA" w:rsidRDefault="006D1CBA" w:rsidP="006D1CBA">
      <w:pPr>
        <w:numPr>
          <w:ilvl w:val="0"/>
          <w:numId w:val="2"/>
        </w:numPr>
        <w:spacing w:after="120"/>
        <w:ind w:left="357" w:hanging="357"/>
        <w:jc w:val="both"/>
        <w:rPr>
          <w:rFonts w:eastAsia="MS Mincho" w:cs="Times New Roman"/>
          <w:iCs w:val="0"/>
          <w:szCs w:val="22"/>
          <w:lang w:val="es-MX" w:eastAsia="es-MX"/>
        </w:rPr>
      </w:pPr>
      <w:r w:rsidRPr="006D1CBA">
        <w:rPr>
          <w:rFonts w:eastAsia="MS Mincho" w:cs="Times New Roman"/>
          <w:iCs w:val="0"/>
          <w:szCs w:val="22"/>
          <w:lang w:val="es-MX" w:eastAsia="es-MX"/>
        </w:rPr>
        <w:t>Depósitos otorgados a terceros por servicio de arrendamiento de instalaciones o equipos utilizados por las Entidades Paraestatales y Fideicomisos No Empresariales y No Financieros; así como, para servicios básicos y técnicos especializados.</w:t>
      </w:r>
    </w:p>
    <w:p w14:paraId="71D552BE" w14:textId="77777777" w:rsidR="006D1CBA" w:rsidRPr="006D1CBA" w:rsidRDefault="006D1CBA" w:rsidP="006D1CBA">
      <w:pPr>
        <w:numPr>
          <w:ilvl w:val="0"/>
          <w:numId w:val="2"/>
        </w:numPr>
        <w:spacing w:after="120"/>
        <w:ind w:left="357" w:hanging="357"/>
        <w:jc w:val="both"/>
        <w:rPr>
          <w:rFonts w:eastAsia="MS Mincho" w:cs="Times New Roman"/>
          <w:iCs w:val="0"/>
          <w:szCs w:val="22"/>
          <w:lang w:val="es-MX" w:eastAsia="es-MX"/>
        </w:rPr>
      </w:pPr>
      <w:r w:rsidRPr="006D1CBA">
        <w:rPr>
          <w:rFonts w:eastAsia="MS Mincho" w:cs="Times New Roman"/>
          <w:iCs w:val="0"/>
          <w:szCs w:val="22"/>
          <w:lang w:val="es-MX" w:eastAsia="es-MX"/>
        </w:rPr>
        <w:t>Recursos colocados en inversiones por parte de la Universidad de Ciencias y Artes de Chiapas, y del Colegio de Estudios Científicos y Tecnológicos del Estado de Chiapas.</w:t>
      </w:r>
    </w:p>
    <w:p w14:paraId="2DB6734C"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lastRenderedPageBreak/>
        <w:t>Este rubro de igual manera refleja recursos de mayor liquidez, que son totalmente convertibles en importes determinados en efectivo sujeto a un riesgo mínimo de su valor, los cuales se encuentran disponibles para solventar gastos de operación y de inversión, que a su vez inciden en el patrimonio de las Entidades Paraestatales y Fideicomisos No Empresariales y No Financieros.</w:t>
      </w:r>
    </w:p>
    <w:p w14:paraId="4B71FF94"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6F66A9DA" w14:textId="77777777" w:rsidR="006D1CBA" w:rsidRPr="006D1CBA" w:rsidRDefault="006D1CBA" w:rsidP="006D1CBA">
      <w:pPr>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7FFE4001" wp14:editId="57EA5BED">
            <wp:extent cx="5400000" cy="1673367"/>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1673367"/>
                    </a:xfrm>
                    <a:prstGeom prst="rect">
                      <a:avLst/>
                    </a:prstGeom>
                    <a:noFill/>
                    <a:ln>
                      <a:noFill/>
                    </a:ln>
                  </pic:spPr>
                </pic:pic>
              </a:graphicData>
            </a:graphic>
          </wp:inline>
        </w:drawing>
      </w:r>
    </w:p>
    <w:p w14:paraId="508F0F46"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1B49CCAB"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793D8699"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Derechos a recibir efectivo o equivalentes</w:t>
      </w:r>
    </w:p>
    <w:p w14:paraId="48618A8D"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610D1D82"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Este rubro del activo se compone en su mayoría por los recursos financieros del Fondo de Aportaciones para la Seguridad Pública (FASP), así como del Fondo para el Fortalecimiento de las Instituciones de Seguridad Pública (</w:t>
      </w:r>
      <w:proofErr w:type="spellStart"/>
      <w:r w:rsidRPr="006D1CBA">
        <w:rPr>
          <w:rFonts w:eastAsia="Calibri" w:cs="Times New Roman"/>
          <w:iCs w:val="0"/>
          <w:szCs w:val="22"/>
          <w:lang w:val="es-MX" w:eastAsia="en-US"/>
        </w:rPr>
        <w:t>Fofisp</w:t>
      </w:r>
      <w:proofErr w:type="spellEnd"/>
      <w:r w:rsidRPr="006D1CBA">
        <w:rPr>
          <w:rFonts w:eastAsia="Calibri" w:cs="Times New Roman"/>
          <w:iCs w:val="0"/>
          <w:szCs w:val="22"/>
          <w:lang w:val="es-MX" w:eastAsia="en-US"/>
        </w:rPr>
        <w:t>), de igual forma se integra por deudores morosos por concepto de gastos a comprobar y por préstamos a corto plazo, concedidos a funcionarios y empleados de las Entidades Paraestatales y Fideicomisos No Empresariales y No Financieros, pendientes de recuperar.</w:t>
      </w:r>
    </w:p>
    <w:p w14:paraId="4F31FFB5"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4C2BA9C8"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Este rubro expone la cifra de $ 91,628,829 pesos y representa el 0.8 % del activo circulante.</w:t>
      </w:r>
    </w:p>
    <w:p w14:paraId="421D2E21" w14:textId="77777777" w:rsidR="006D1CBA" w:rsidRPr="006D1CBA" w:rsidRDefault="006D1CBA" w:rsidP="006D1CBA">
      <w:pPr>
        <w:tabs>
          <w:tab w:val="left" w:pos="1418"/>
        </w:tabs>
        <w:autoSpaceDE w:val="0"/>
        <w:autoSpaceDN w:val="0"/>
        <w:adjustRightInd w:val="0"/>
        <w:jc w:val="both"/>
        <w:rPr>
          <w:rFonts w:eastAsia="Calibri" w:cs="Times New Roman"/>
          <w:b/>
          <w:iCs w:val="0"/>
          <w:szCs w:val="22"/>
          <w:lang w:val="es-MX" w:eastAsia="en-US"/>
        </w:rPr>
      </w:pPr>
    </w:p>
    <w:p w14:paraId="747F84F9" w14:textId="77777777" w:rsidR="006D1CBA" w:rsidRPr="006D1CBA" w:rsidRDefault="006D1CBA" w:rsidP="006D1CBA">
      <w:pPr>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54D56CC9" wp14:editId="1ABB451F">
            <wp:extent cx="5400000" cy="132060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1320603"/>
                    </a:xfrm>
                    <a:prstGeom prst="rect">
                      <a:avLst/>
                    </a:prstGeom>
                    <a:noFill/>
                    <a:ln>
                      <a:noFill/>
                    </a:ln>
                  </pic:spPr>
                </pic:pic>
              </a:graphicData>
            </a:graphic>
          </wp:inline>
        </w:drawing>
      </w:r>
    </w:p>
    <w:p w14:paraId="5B1D2E41"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09845FBD"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36598D42"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Derechos a recibir bienes o servicios</w:t>
      </w:r>
    </w:p>
    <w:p w14:paraId="248CEE47"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4D9DD057"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Este rubro presenta la cifra de $ 716,380,312 pesos al 30 de junio de 2024, representando el 6 % del activo circulante y se integra por los anticipos a proveedores, derivado de la adquisición de bienes y/o prestación de servicios, además de los anticipos otorgados a contratistas por obras públicas.</w:t>
      </w:r>
    </w:p>
    <w:p w14:paraId="3A4E7C70"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p>
    <w:p w14:paraId="70089E90" w14:textId="77777777" w:rsidR="006D1CBA" w:rsidRPr="006D1CBA" w:rsidRDefault="006D1CBA" w:rsidP="006D1CBA">
      <w:pPr>
        <w:tabs>
          <w:tab w:val="left" w:pos="1418"/>
        </w:tabs>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1D577188" wp14:editId="3EAB3BE2">
            <wp:extent cx="5400000" cy="1564824"/>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64824"/>
                    </a:xfrm>
                    <a:prstGeom prst="rect">
                      <a:avLst/>
                    </a:prstGeom>
                    <a:noFill/>
                    <a:ln>
                      <a:noFill/>
                    </a:ln>
                  </pic:spPr>
                </pic:pic>
              </a:graphicData>
            </a:graphic>
          </wp:inline>
        </w:drawing>
      </w:r>
    </w:p>
    <w:p w14:paraId="0BB64698" w14:textId="77777777" w:rsidR="002979D0" w:rsidRDefault="002979D0">
      <w:pPr>
        <w:rPr>
          <w:rFonts w:eastAsia="Calibri" w:cs="Times New Roman"/>
          <w:b/>
          <w:i/>
          <w:iCs w:val="0"/>
          <w:szCs w:val="22"/>
          <w:u w:val="single"/>
          <w:lang w:val="es-MX" w:eastAsia="en-US"/>
        </w:rPr>
      </w:pPr>
      <w:r>
        <w:rPr>
          <w:rFonts w:eastAsia="Calibri" w:cs="Times New Roman"/>
          <w:b/>
          <w:i/>
          <w:iCs w:val="0"/>
          <w:szCs w:val="22"/>
          <w:u w:val="single"/>
          <w:lang w:val="es-MX" w:eastAsia="en-US"/>
        </w:rPr>
        <w:br w:type="page"/>
      </w:r>
    </w:p>
    <w:p w14:paraId="15B7FE44" w14:textId="7EBF4B3C"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lastRenderedPageBreak/>
        <w:t>Inventarios</w:t>
      </w:r>
    </w:p>
    <w:p w14:paraId="4EA2253C"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3D7B40EB" w14:textId="77777777" w:rsidR="006D1CBA" w:rsidRPr="006D1CBA" w:rsidRDefault="006D1CBA" w:rsidP="006D1CBA">
      <w:pPr>
        <w:autoSpaceDE w:val="0"/>
        <w:autoSpaceDN w:val="0"/>
        <w:adjustRightInd w:val="0"/>
        <w:jc w:val="both"/>
        <w:rPr>
          <w:rFonts w:eastAsia="Calibri" w:cs="Times New Roman"/>
          <w:iCs w:val="0"/>
          <w:szCs w:val="22"/>
          <w:lang w:val="es-MX" w:eastAsia="es-MX"/>
        </w:rPr>
      </w:pPr>
      <w:r w:rsidRPr="006D1CBA">
        <w:rPr>
          <w:rFonts w:eastAsia="Calibri" w:cs="Times New Roman"/>
          <w:iCs w:val="0"/>
          <w:szCs w:val="22"/>
          <w:lang w:val="es-MX" w:eastAsia="es-MX"/>
        </w:rPr>
        <w:t xml:space="preserve">Este rubro al 30 de junio de 2024 asciende a $ 2,607,689 pesos y refleja la existencia física de mercancías artesanales para su venta, los cuales se tienen en el almacén general del Instituto Casa de las Artesanías de Chiapas. </w:t>
      </w:r>
    </w:p>
    <w:p w14:paraId="3C765435"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2289511E" w14:textId="77777777" w:rsidR="006D1CBA" w:rsidRPr="006D1CBA" w:rsidRDefault="006D1CBA" w:rsidP="006D1CBA">
      <w:pPr>
        <w:autoSpaceDE w:val="0"/>
        <w:autoSpaceDN w:val="0"/>
        <w:adjustRightInd w:val="0"/>
        <w:jc w:val="center"/>
        <w:rPr>
          <w:rFonts w:eastAsia="Calibri" w:cs="Times New Roman"/>
          <w:iCs w:val="0"/>
          <w:noProof/>
          <w:szCs w:val="22"/>
          <w:lang w:val="es-MX" w:eastAsia="es-MX"/>
        </w:rPr>
      </w:pPr>
      <w:r w:rsidRPr="006D1CBA">
        <w:rPr>
          <w:rFonts w:eastAsia="Calibri" w:cs="Times New Roman"/>
          <w:iCs w:val="0"/>
          <w:szCs w:val="22"/>
          <w:lang w:val="es-MX" w:eastAsia="en-US"/>
        </w:rPr>
        <w:drawing>
          <wp:inline distT="0" distB="0" distL="0" distR="0" wp14:anchorId="4A251FE6" wp14:editId="0D458962">
            <wp:extent cx="5400000" cy="958794"/>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958794"/>
                    </a:xfrm>
                    <a:prstGeom prst="rect">
                      <a:avLst/>
                    </a:prstGeom>
                    <a:noFill/>
                    <a:ln>
                      <a:noFill/>
                    </a:ln>
                  </pic:spPr>
                </pic:pic>
              </a:graphicData>
            </a:graphic>
          </wp:inline>
        </w:drawing>
      </w:r>
    </w:p>
    <w:p w14:paraId="08F9B9E7"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6F5D89C3"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727AFC8A"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Almacenes</w:t>
      </w:r>
    </w:p>
    <w:p w14:paraId="73374054"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29ABBCA5" w14:textId="77777777" w:rsidR="006D1CBA" w:rsidRPr="006D1CBA" w:rsidRDefault="006D1CBA" w:rsidP="006D1CBA">
      <w:pPr>
        <w:autoSpaceDE w:val="0"/>
        <w:autoSpaceDN w:val="0"/>
        <w:adjustRightInd w:val="0"/>
        <w:jc w:val="both"/>
        <w:rPr>
          <w:rFonts w:eastAsia="Calibri" w:cs="Times New Roman"/>
          <w:iCs w:val="0"/>
          <w:szCs w:val="22"/>
          <w:lang w:val="es-MX" w:eastAsia="es-MX"/>
        </w:rPr>
      </w:pPr>
      <w:r w:rsidRPr="006D1CBA">
        <w:rPr>
          <w:rFonts w:eastAsia="Calibri" w:cs="Times New Roman"/>
          <w:iCs w:val="0"/>
          <w:szCs w:val="22"/>
          <w:lang w:val="es-MX" w:eastAsia="es-MX"/>
        </w:rPr>
        <w:t xml:space="preserve">El rubro de almacenes asciende a $ 142,214,123 pesos, con </w:t>
      </w:r>
      <w:r w:rsidRPr="006D1CBA">
        <w:rPr>
          <w:rFonts w:eastAsia="Calibri" w:cs="Times New Roman"/>
          <w:iCs w:val="0"/>
          <w:szCs w:val="22"/>
          <w:lang w:val="es-MX" w:eastAsia="en-US"/>
        </w:rPr>
        <w:t xml:space="preserve">respecto al activo circulante representa el 1.2 % y </w:t>
      </w:r>
      <w:r w:rsidRPr="006D1CBA">
        <w:rPr>
          <w:rFonts w:eastAsia="Calibri" w:cs="Times New Roman"/>
          <w:iCs w:val="0"/>
          <w:szCs w:val="22"/>
          <w:lang w:val="es-MX" w:eastAsia="es-MX"/>
        </w:rPr>
        <w:t xml:space="preserve">refleja la existencia física de materias primas y de consumibles que se tienen en los almacenes al 30 de junio de 2024, integrado principalmente por </w:t>
      </w:r>
      <w:r w:rsidRPr="006D1CBA">
        <w:rPr>
          <w:rFonts w:eastAsia="Calibri" w:cs="Times New Roman"/>
          <w:iCs w:val="0"/>
          <w:szCs w:val="22"/>
          <w:lang w:val="es-MX" w:eastAsia="en-US"/>
        </w:rPr>
        <w:t xml:space="preserve">materiales y suministro de consumo, como son los materiales y útiles de oficina, refacciones y accesorios de equipo de cómputo; </w:t>
      </w:r>
      <w:r w:rsidRPr="006D1CBA">
        <w:rPr>
          <w:rFonts w:eastAsia="Calibri" w:cs="Times New Roman"/>
          <w:iCs w:val="0"/>
          <w:szCs w:val="22"/>
          <w:lang w:val="es-MX" w:eastAsia="es-MX"/>
        </w:rPr>
        <w:t>esenciales para la operatividad de las Entidades Paraestatales y Fideicomisos No Empresariales y No Financieras</w:t>
      </w:r>
      <w:r w:rsidRPr="006D1CBA">
        <w:rPr>
          <w:rFonts w:eastAsia="Calibri" w:cs="Times New Roman"/>
          <w:iCs w:val="0"/>
          <w:szCs w:val="22"/>
          <w:lang w:val="es-MX" w:eastAsia="en-US"/>
        </w:rPr>
        <w:t>.</w:t>
      </w:r>
    </w:p>
    <w:p w14:paraId="3C70CF99" w14:textId="77777777" w:rsidR="006D1CBA" w:rsidRPr="006D1CBA" w:rsidRDefault="006D1CBA" w:rsidP="006D1CBA">
      <w:pPr>
        <w:autoSpaceDE w:val="0"/>
        <w:autoSpaceDN w:val="0"/>
        <w:adjustRightInd w:val="0"/>
        <w:jc w:val="both"/>
        <w:rPr>
          <w:rFonts w:eastAsia="Calibri" w:cs="Times New Roman"/>
          <w:iCs w:val="0"/>
          <w:szCs w:val="22"/>
          <w:lang w:val="es-MX" w:eastAsia="es-MX"/>
        </w:rPr>
      </w:pPr>
    </w:p>
    <w:p w14:paraId="4ED8E943" w14:textId="77777777" w:rsidR="006D1CBA" w:rsidRPr="006D1CBA" w:rsidRDefault="006D1CBA" w:rsidP="006D1CBA">
      <w:pPr>
        <w:autoSpaceDE w:val="0"/>
        <w:autoSpaceDN w:val="0"/>
        <w:adjustRightInd w:val="0"/>
        <w:jc w:val="center"/>
        <w:rPr>
          <w:rFonts w:eastAsia="Calibri" w:cs="Times New Roman"/>
          <w:iCs w:val="0"/>
          <w:szCs w:val="22"/>
          <w:lang w:val="es-MX" w:eastAsia="es-MX"/>
        </w:rPr>
      </w:pPr>
      <w:r w:rsidRPr="006D1CBA">
        <w:rPr>
          <w:rFonts w:eastAsia="Calibri" w:cs="Times New Roman"/>
          <w:iCs w:val="0"/>
          <w:szCs w:val="22"/>
          <w:lang w:val="es-MX" w:eastAsia="en-US"/>
        </w:rPr>
        <w:drawing>
          <wp:inline distT="0" distB="0" distL="0" distR="0" wp14:anchorId="3FB42B60" wp14:editId="7DF0D33E">
            <wp:extent cx="5400000" cy="958794"/>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958794"/>
                    </a:xfrm>
                    <a:prstGeom prst="rect">
                      <a:avLst/>
                    </a:prstGeom>
                    <a:noFill/>
                    <a:ln>
                      <a:noFill/>
                    </a:ln>
                  </pic:spPr>
                </pic:pic>
              </a:graphicData>
            </a:graphic>
          </wp:inline>
        </w:drawing>
      </w:r>
    </w:p>
    <w:p w14:paraId="72799085" w14:textId="77777777" w:rsidR="006D1CBA" w:rsidRPr="006D1CBA" w:rsidRDefault="006D1CBA" w:rsidP="006D1CBA">
      <w:pPr>
        <w:autoSpaceDE w:val="0"/>
        <w:autoSpaceDN w:val="0"/>
        <w:adjustRightInd w:val="0"/>
        <w:jc w:val="both"/>
        <w:rPr>
          <w:rFonts w:eastAsia="Calibri" w:cs="Times New Roman"/>
          <w:iCs w:val="0"/>
          <w:szCs w:val="22"/>
          <w:lang w:val="es-MX" w:eastAsia="es-MX"/>
        </w:rPr>
      </w:pPr>
    </w:p>
    <w:p w14:paraId="3CAA2EB6" w14:textId="77777777" w:rsidR="006D1CBA" w:rsidRPr="006D1CBA" w:rsidRDefault="006D1CBA" w:rsidP="006D1CBA">
      <w:pPr>
        <w:autoSpaceDE w:val="0"/>
        <w:autoSpaceDN w:val="0"/>
        <w:adjustRightInd w:val="0"/>
        <w:jc w:val="both"/>
        <w:rPr>
          <w:rFonts w:eastAsia="Calibri" w:cs="Times New Roman"/>
          <w:iCs w:val="0"/>
          <w:szCs w:val="22"/>
          <w:lang w:val="es-MX" w:eastAsia="es-MX"/>
        </w:rPr>
      </w:pPr>
    </w:p>
    <w:p w14:paraId="67CEC146"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Otros activos circulantes</w:t>
      </w:r>
    </w:p>
    <w:p w14:paraId="01D98D60"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1211416B"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s-MX"/>
        </w:rPr>
        <w:t xml:space="preserve">En este rubro se expone la cifra de $ 446,079,460 pesos, el cual </w:t>
      </w:r>
      <w:r w:rsidRPr="006D1CBA">
        <w:rPr>
          <w:rFonts w:eastAsia="Calibri" w:cs="Times New Roman"/>
          <w:iCs w:val="0"/>
          <w:szCs w:val="22"/>
          <w:lang w:val="es-MX" w:eastAsia="en-US"/>
        </w:rPr>
        <w:t>representa el 3.7 % del total del activo circulante y se integra por proyectos de mantenimiento (mantenimiento preventivo, menor y correctivo) de planteles educativos, por parte del Instituto de la Infraestructura Física Educativa del Estado de Chiapas para atender las necesidades de liquidez para su conservación y mantenimiento.</w:t>
      </w:r>
    </w:p>
    <w:p w14:paraId="3B07596D"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23FE73E1" w14:textId="77777777" w:rsidR="006D1CBA" w:rsidRPr="006D1CBA" w:rsidRDefault="006D1CBA" w:rsidP="006D1CBA">
      <w:pPr>
        <w:autoSpaceDE w:val="0"/>
        <w:autoSpaceDN w:val="0"/>
        <w:adjustRightInd w:val="0"/>
        <w:jc w:val="center"/>
        <w:rPr>
          <w:rFonts w:eastAsia="Calibri" w:cs="Times New Roman"/>
          <w:iCs w:val="0"/>
          <w:szCs w:val="22"/>
          <w:lang w:val="es-MX" w:eastAsia="es-MX"/>
        </w:rPr>
      </w:pPr>
      <w:r w:rsidRPr="006D1CBA">
        <w:rPr>
          <w:rFonts w:eastAsia="Calibri" w:cs="Times New Roman"/>
          <w:iCs w:val="0"/>
          <w:szCs w:val="22"/>
          <w:lang w:val="es-MX" w:eastAsia="en-US"/>
        </w:rPr>
        <w:drawing>
          <wp:inline distT="0" distB="0" distL="0" distR="0" wp14:anchorId="1AE4FBC5" wp14:editId="5D9B6CFC">
            <wp:extent cx="5400000" cy="958794"/>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958794"/>
                    </a:xfrm>
                    <a:prstGeom prst="rect">
                      <a:avLst/>
                    </a:prstGeom>
                    <a:noFill/>
                    <a:ln>
                      <a:noFill/>
                    </a:ln>
                  </pic:spPr>
                </pic:pic>
              </a:graphicData>
            </a:graphic>
          </wp:inline>
        </w:drawing>
      </w:r>
    </w:p>
    <w:p w14:paraId="73B04AF0" w14:textId="77777777" w:rsidR="006D1CBA" w:rsidRPr="006D1CBA" w:rsidRDefault="006D1CBA" w:rsidP="006D1CBA">
      <w:pPr>
        <w:autoSpaceDE w:val="0"/>
        <w:autoSpaceDN w:val="0"/>
        <w:adjustRightInd w:val="0"/>
        <w:jc w:val="both"/>
        <w:rPr>
          <w:rFonts w:eastAsia="Calibri" w:cs="Times New Roman"/>
          <w:iCs w:val="0"/>
          <w:szCs w:val="22"/>
          <w:lang w:val="es-MX" w:eastAsia="es-MX"/>
        </w:rPr>
      </w:pPr>
    </w:p>
    <w:p w14:paraId="4D37CEF9" w14:textId="77777777" w:rsidR="006D1CBA" w:rsidRPr="006D1CBA" w:rsidRDefault="006D1CBA" w:rsidP="006D1CBA">
      <w:pPr>
        <w:autoSpaceDE w:val="0"/>
        <w:autoSpaceDN w:val="0"/>
        <w:adjustRightInd w:val="0"/>
        <w:jc w:val="both"/>
        <w:rPr>
          <w:rFonts w:eastAsia="Calibri" w:cs="Times New Roman"/>
          <w:b/>
          <w:bCs/>
          <w:iCs w:val="0"/>
          <w:szCs w:val="22"/>
          <w:lang w:val="es-MX" w:eastAsia="en-US"/>
        </w:rPr>
      </w:pPr>
    </w:p>
    <w:p w14:paraId="710C14F9" w14:textId="77777777" w:rsidR="006D1CBA" w:rsidRPr="006D1CBA" w:rsidRDefault="006D1CBA" w:rsidP="006D1CBA">
      <w:pPr>
        <w:spacing w:after="160" w:line="259" w:lineRule="auto"/>
        <w:rPr>
          <w:rFonts w:eastAsia="Calibri" w:cs="Times New Roman"/>
          <w:b/>
          <w:bCs/>
          <w:iCs w:val="0"/>
          <w:szCs w:val="22"/>
          <w:lang w:val="es-MX" w:eastAsia="en-US"/>
        </w:rPr>
      </w:pPr>
      <w:r w:rsidRPr="006D1CBA">
        <w:rPr>
          <w:rFonts w:eastAsia="Calibri" w:cs="Times New Roman"/>
          <w:b/>
          <w:bCs/>
          <w:iCs w:val="0"/>
          <w:szCs w:val="22"/>
          <w:lang w:val="es-MX" w:eastAsia="en-US"/>
        </w:rPr>
        <w:br w:type="page"/>
      </w:r>
    </w:p>
    <w:p w14:paraId="778D9196" w14:textId="77777777" w:rsidR="006D1CBA" w:rsidRPr="006D1CBA" w:rsidRDefault="006D1CBA" w:rsidP="006D1CBA">
      <w:pPr>
        <w:autoSpaceDE w:val="0"/>
        <w:autoSpaceDN w:val="0"/>
        <w:adjustRightInd w:val="0"/>
        <w:jc w:val="both"/>
        <w:rPr>
          <w:rFonts w:eastAsia="Calibri" w:cs="Times New Roman"/>
          <w:b/>
          <w:bCs/>
          <w:iCs w:val="0"/>
          <w:szCs w:val="22"/>
          <w:lang w:val="es-MX" w:eastAsia="en-US"/>
        </w:rPr>
      </w:pPr>
      <w:r w:rsidRPr="006D1CBA">
        <w:rPr>
          <w:rFonts w:eastAsia="Calibri" w:cs="Times New Roman"/>
          <w:b/>
          <w:bCs/>
          <w:iCs w:val="0"/>
          <w:szCs w:val="22"/>
          <w:lang w:val="es-MX" w:eastAsia="en-US"/>
        </w:rPr>
        <w:lastRenderedPageBreak/>
        <w:t>No circulante</w:t>
      </w:r>
    </w:p>
    <w:p w14:paraId="0D170E86" w14:textId="77777777" w:rsidR="006D1CBA" w:rsidRPr="006D1CBA" w:rsidRDefault="006D1CBA" w:rsidP="006D1CBA">
      <w:pPr>
        <w:autoSpaceDE w:val="0"/>
        <w:autoSpaceDN w:val="0"/>
        <w:adjustRightInd w:val="0"/>
        <w:jc w:val="both"/>
        <w:rPr>
          <w:rFonts w:eastAsia="Calibri" w:cs="Times New Roman"/>
          <w:iCs w:val="0"/>
          <w:noProof/>
          <w:szCs w:val="22"/>
          <w:lang w:val="es-MX" w:eastAsia="es-MX"/>
        </w:rPr>
      </w:pPr>
    </w:p>
    <w:p w14:paraId="4894D4DD" w14:textId="77777777" w:rsidR="006D1CBA" w:rsidRPr="006D1CBA" w:rsidRDefault="006D1CBA" w:rsidP="006D1CBA">
      <w:pPr>
        <w:autoSpaceDE w:val="0"/>
        <w:autoSpaceDN w:val="0"/>
        <w:adjustRightInd w:val="0"/>
        <w:jc w:val="center"/>
        <w:rPr>
          <w:rFonts w:eastAsia="Calibri" w:cs="Times New Roman"/>
          <w:b/>
          <w:bCs/>
          <w:iCs w:val="0"/>
          <w:noProof/>
          <w:szCs w:val="22"/>
          <w:lang w:val="es-MX" w:eastAsia="es-MX"/>
        </w:rPr>
      </w:pPr>
      <w:r w:rsidRPr="006D1CBA">
        <w:rPr>
          <w:rFonts w:eastAsia="Calibri" w:cs="Times New Roman"/>
          <w:b/>
          <w:bCs/>
          <w:iCs w:val="0"/>
          <w:noProof/>
          <w:szCs w:val="22"/>
          <w:lang w:val="es-MX" w:eastAsia="es-MX"/>
        </w:rPr>
        <w:drawing>
          <wp:inline distT="0" distB="0" distL="0" distR="0" wp14:anchorId="2EB0F722" wp14:editId="5605A94B">
            <wp:extent cx="6120000" cy="228900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000" cy="2289001"/>
                    </a:xfrm>
                    <a:prstGeom prst="rect">
                      <a:avLst/>
                    </a:prstGeom>
                    <a:noFill/>
                  </pic:spPr>
                </pic:pic>
              </a:graphicData>
            </a:graphic>
          </wp:inline>
        </w:drawing>
      </w:r>
    </w:p>
    <w:p w14:paraId="10B7063E" w14:textId="77777777" w:rsidR="006D1CBA" w:rsidRPr="006D1CBA" w:rsidRDefault="006D1CBA" w:rsidP="006D1CBA">
      <w:pPr>
        <w:autoSpaceDE w:val="0"/>
        <w:autoSpaceDN w:val="0"/>
        <w:adjustRightInd w:val="0"/>
        <w:jc w:val="both"/>
        <w:rPr>
          <w:rFonts w:eastAsia="Calibri" w:cs="Times New Roman"/>
          <w:b/>
          <w:bCs/>
          <w:iCs w:val="0"/>
          <w:noProof/>
          <w:szCs w:val="22"/>
          <w:lang w:val="es-MX" w:eastAsia="es-MX"/>
        </w:rPr>
      </w:pPr>
    </w:p>
    <w:p w14:paraId="587737D6" w14:textId="77777777" w:rsidR="006D1CBA" w:rsidRPr="006D1CBA" w:rsidRDefault="006D1CBA" w:rsidP="006D1CBA">
      <w:pPr>
        <w:autoSpaceDE w:val="0"/>
        <w:autoSpaceDN w:val="0"/>
        <w:adjustRightInd w:val="0"/>
        <w:jc w:val="both"/>
        <w:rPr>
          <w:rFonts w:eastAsia="Calibri" w:cs="Times New Roman"/>
          <w:b/>
          <w:bCs/>
          <w:iCs w:val="0"/>
          <w:noProof/>
          <w:szCs w:val="22"/>
          <w:lang w:val="es-MX" w:eastAsia="es-MX"/>
        </w:rPr>
      </w:pPr>
    </w:p>
    <w:p w14:paraId="70A5F93C"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Inversiones financieras a largo plazo</w:t>
      </w:r>
    </w:p>
    <w:p w14:paraId="2A57739A" w14:textId="77777777" w:rsidR="006D1CBA" w:rsidRPr="006D1CBA" w:rsidRDefault="006D1CBA" w:rsidP="006D1CBA">
      <w:pPr>
        <w:jc w:val="both"/>
        <w:rPr>
          <w:rFonts w:eastAsia="Calibri" w:cs="Times New Roman"/>
          <w:iCs w:val="0"/>
          <w:szCs w:val="22"/>
          <w:lang w:val="es-MX" w:eastAsia="en-US"/>
        </w:rPr>
      </w:pPr>
    </w:p>
    <w:p w14:paraId="77FA97B6" w14:textId="77777777" w:rsidR="006D1CBA" w:rsidRPr="006D1CBA" w:rsidRDefault="006D1CBA" w:rsidP="006D1CBA">
      <w:pPr>
        <w:jc w:val="both"/>
        <w:rPr>
          <w:rFonts w:eastAsia="Calibri" w:cs="Times New Roman"/>
          <w:iCs w:val="0"/>
          <w:szCs w:val="22"/>
          <w:lang w:val="es-MX" w:eastAsia="en-US"/>
        </w:rPr>
      </w:pPr>
      <w:r w:rsidRPr="006D1CBA">
        <w:rPr>
          <w:rFonts w:eastAsia="Calibri" w:cs="Times New Roman"/>
          <w:iCs w:val="0"/>
          <w:szCs w:val="22"/>
          <w:lang w:val="es-MX" w:eastAsia="en-US"/>
        </w:rPr>
        <w:t>El monto al periodo que se informa en este rubro fue por $ 393,882,723 pesos, mismo que representa el 0.9 % del activo no circulante; está integrado por los fideicomisos recuperables de las Entidades Paraestatales y Fideicomisos No Empresariales y No Financieros, orientados al mejoramiento de servicios educativos y sociales, así como a la prevención y reducción de riesgos en el Estado.</w:t>
      </w:r>
    </w:p>
    <w:p w14:paraId="639B06DE" w14:textId="77777777" w:rsidR="006D1CBA" w:rsidRPr="006D1CBA" w:rsidRDefault="006D1CBA" w:rsidP="006D1CBA">
      <w:pPr>
        <w:jc w:val="both"/>
        <w:rPr>
          <w:rFonts w:eastAsia="Calibri" w:cs="Times New Roman"/>
          <w:iCs w:val="0"/>
          <w:szCs w:val="22"/>
          <w:lang w:val="es-MX" w:eastAsia="en-US"/>
        </w:rPr>
      </w:pPr>
    </w:p>
    <w:p w14:paraId="4D636643" w14:textId="77777777" w:rsidR="006D1CBA" w:rsidRPr="006D1CBA" w:rsidRDefault="006D1CBA" w:rsidP="006D1CBA">
      <w:pPr>
        <w:jc w:val="both"/>
        <w:rPr>
          <w:rFonts w:eastAsia="Calibri" w:cs="Times New Roman"/>
          <w:iCs w:val="0"/>
          <w:szCs w:val="22"/>
          <w:lang w:val="es-MX" w:eastAsia="en-US"/>
        </w:rPr>
      </w:pPr>
      <w:r w:rsidRPr="006D1CBA">
        <w:rPr>
          <w:rFonts w:eastAsia="Calibri" w:cs="Times New Roman"/>
          <w:iCs w:val="0"/>
          <w:szCs w:val="22"/>
          <w:lang w:val="es-MX" w:eastAsia="en-US"/>
        </w:rPr>
        <w:t>Destacándose los siguientes:</w:t>
      </w:r>
    </w:p>
    <w:p w14:paraId="7956FC97" w14:textId="77777777" w:rsidR="006D1CBA" w:rsidRPr="006D1CBA" w:rsidRDefault="006D1CBA" w:rsidP="006D1CBA">
      <w:pPr>
        <w:jc w:val="both"/>
        <w:rPr>
          <w:rFonts w:eastAsia="Calibri" w:cs="Times New Roman"/>
          <w:iCs w:val="0"/>
          <w:szCs w:val="22"/>
          <w:lang w:val="es-MX" w:eastAsia="en-US"/>
        </w:rPr>
      </w:pPr>
    </w:p>
    <w:p w14:paraId="19252E69" w14:textId="77777777" w:rsidR="006D1CBA" w:rsidRPr="006D1CBA" w:rsidRDefault="006D1CBA" w:rsidP="006D1CBA">
      <w:pPr>
        <w:numPr>
          <w:ilvl w:val="0"/>
          <w:numId w:val="1"/>
        </w:numPr>
        <w:spacing w:after="120"/>
        <w:ind w:left="357" w:hanging="357"/>
        <w:jc w:val="both"/>
        <w:rPr>
          <w:rFonts w:eastAsia="Calibri" w:cs="Times New Roman"/>
          <w:iCs w:val="0"/>
          <w:szCs w:val="22"/>
          <w:lang w:val="es-MX" w:eastAsia="en-US"/>
        </w:rPr>
      </w:pPr>
      <w:r w:rsidRPr="006D1CBA">
        <w:rPr>
          <w:rFonts w:eastAsia="Calibri" w:cs="Times New Roman"/>
          <w:iCs w:val="0"/>
          <w:szCs w:val="22"/>
          <w:lang w:val="es-MX" w:eastAsia="en-US"/>
        </w:rPr>
        <w:t>Programa del Mejoramiento del Profesorado (</w:t>
      </w:r>
      <w:proofErr w:type="spellStart"/>
      <w:r w:rsidRPr="006D1CBA">
        <w:rPr>
          <w:rFonts w:eastAsia="Calibri" w:cs="Times New Roman"/>
          <w:iCs w:val="0"/>
          <w:szCs w:val="22"/>
          <w:lang w:val="es-MX" w:eastAsia="en-US"/>
        </w:rPr>
        <w:t>Promep</w:t>
      </w:r>
      <w:proofErr w:type="spellEnd"/>
      <w:r w:rsidRPr="006D1CBA">
        <w:rPr>
          <w:rFonts w:eastAsia="Calibri" w:cs="Times New Roman"/>
          <w:iCs w:val="0"/>
          <w:szCs w:val="22"/>
          <w:lang w:val="es-MX" w:eastAsia="en-US"/>
        </w:rPr>
        <w:t xml:space="preserve">) </w:t>
      </w:r>
    </w:p>
    <w:p w14:paraId="427227DE" w14:textId="77777777" w:rsidR="006D1CBA" w:rsidRPr="006D1CBA" w:rsidRDefault="006D1CBA" w:rsidP="006D1CBA">
      <w:pPr>
        <w:numPr>
          <w:ilvl w:val="0"/>
          <w:numId w:val="1"/>
        </w:numPr>
        <w:spacing w:after="120"/>
        <w:ind w:left="357" w:hanging="357"/>
        <w:jc w:val="both"/>
        <w:rPr>
          <w:rFonts w:eastAsia="Calibri" w:cs="Times New Roman"/>
          <w:iCs w:val="0"/>
          <w:szCs w:val="22"/>
          <w:lang w:val="es-MX" w:eastAsia="en-US"/>
        </w:rPr>
      </w:pPr>
      <w:r w:rsidRPr="006D1CBA">
        <w:rPr>
          <w:rFonts w:eastAsia="Calibri" w:cs="Times New Roman"/>
          <w:iCs w:val="0"/>
          <w:szCs w:val="22"/>
          <w:lang w:val="es-MX" w:eastAsia="en-US"/>
        </w:rPr>
        <w:t>Fideicomiso Una Mano…Una Esperanza</w:t>
      </w:r>
    </w:p>
    <w:p w14:paraId="3070528E" w14:textId="77777777" w:rsidR="006D1CBA" w:rsidRPr="006D1CBA" w:rsidRDefault="006D1CBA" w:rsidP="006D1CBA">
      <w:pPr>
        <w:numPr>
          <w:ilvl w:val="0"/>
          <w:numId w:val="1"/>
        </w:numPr>
        <w:spacing w:after="120"/>
        <w:ind w:left="357" w:hanging="357"/>
        <w:jc w:val="both"/>
        <w:rPr>
          <w:rFonts w:eastAsia="Calibri" w:cs="Times New Roman"/>
          <w:iCs w:val="0"/>
          <w:szCs w:val="22"/>
          <w:lang w:val="es-MX" w:eastAsia="en-US"/>
        </w:rPr>
      </w:pPr>
      <w:r w:rsidRPr="006D1CBA">
        <w:rPr>
          <w:rFonts w:eastAsia="Calibri" w:cs="Times New Roman"/>
          <w:iCs w:val="0"/>
          <w:szCs w:val="22"/>
          <w:lang w:val="es-MX" w:eastAsia="en-US"/>
        </w:rPr>
        <w:t>Programa Escuelas al Cien</w:t>
      </w:r>
    </w:p>
    <w:p w14:paraId="601BE26F" w14:textId="77777777" w:rsidR="006D1CBA" w:rsidRPr="006D1CBA" w:rsidRDefault="006D1CBA" w:rsidP="006D1CBA">
      <w:pPr>
        <w:numPr>
          <w:ilvl w:val="0"/>
          <w:numId w:val="1"/>
        </w:numPr>
        <w:spacing w:after="120"/>
        <w:ind w:left="357" w:hanging="357"/>
        <w:jc w:val="both"/>
        <w:rPr>
          <w:rFonts w:eastAsia="Calibri" w:cs="Times New Roman"/>
          <w:iCs w:val="0"/>
          <w:szCs w:val="22"/>
          <w:lang w:val="es-MX" w:eastAsia="en-US"/>
        </w:rPr>
      </w:pPr>
      <w:r w:rsidRPr="006D1CBA">
        <w:rPr>
          <w:rFonts w:eastAsia="Calibri" w:cs="Times New Roman"/>
          <w:iCs w:val="0"/>
          <w:szCs w:val="22"/>
          <w:lang w:val="es-MX" w:eastAsia="en-US"/>
        </w:rPr>
        <w:t>Fondo para la Gestión Integral de Riesgos de Desastres (Fogird)</w:t>
      </w:r>
    </w:p>
    <w:p w14:paraId="28CA95CA" w14:textId="77777777" w:rsidR="006D1CBA" w:rsidRPr="006D1CBA" w:rsidRDefault="006D1CBA" w:rsidP="006D1CBA">
      <w:pPr>
        <w:jc w:val="both"/>
        <w:rPr>
          <w:rFonts w:eastAsia="Calibri" w:cs="Times New Roman"/>
          <w:iCs w:val="0"/>
          <w:szCs w:val="22"/>
          <w:lang w:val="es-MX" w:eastAsia="en-US"/>
        </w:rPr>
      </w:pPr>
    </w:p>
    <w:p w14:paraId="7EE13B93" w14:textId="77777777" w:rsidR="006D1CBA" w:rsidRPr="006D1CBA" w:rsidRDefault="006D1CBA" w:rsidP="006D1CBA">
      <w:pPr>
        <w:tabs>
          <w:tab w:val="left" w:pos="1418"/>
        </w:tabs>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323C8933" wp14:editId="57683308">
            <wp:extent cx="5400000" cy="1139698"/>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0" cy="1139698"/>
                    </a:xfrm>
                    <a:prstGeom prst="rect">
                      <a:avLst/>
                    </a:prstGeom>
                    <a:noFill/>
                    <a:ln>
                      <a:noFill/>
                    </a:ln>
                  </pic:spPr>
                </pic:pic>
              </a:graphicData>
            </a:graphic>
          </wp:inline>
        </w:drawing>
      </w:r>
    </w:p>
    <w:p w14:paraId="21B76466" w14:textId="77777777" w:rsidR="006D1CBA" w:rsidRPr="006D1CBA" w:rsidRDefault="006D1CBA" w:rsidP="006D1CBA">
      <w:pPr>
        <w:tabs>
          <w:tab w:val="left" w:pos="1418"/>
        </w:tabs>
        <w:jc w:val="both"/>
        <w:rPr>
          <w:rFonts w:eastAsia="Calibri" w:cs="Times New Roman"/>
          <w:iCs w:val="0"/>
          <w:szCs w:val="22"/>
          <w:lang w:val="es-MX" w:eastAsia="en-US"/>
        </w:rPr>
      </w:pPr>
    </w:p>
    <w:p w14:paraId="13936969" w14:textId="77777777" w:rsidR="006D1CBA" w:rsidRPr="006D1CBA" w:rsidRDefault="006D1CBA" w:rsidP="006D1CBA">
      <w:pPr>
        <w:tabs>
          <w:tab w:val="left" w:pos="1418"/>
        </w:tabs>
        <w:jc w:val="both"/>
        <w:rPr>
          <w:rFonts w:eastAsia="Calibri" w:cs="Times New Roman"/>
          <w:iCs w:val="0"/>
          <w:szCs w:val="22"/>
          <w:lang w:val="es-MX" w:eastAsia="en-US"/>
        </w:rPr>
      </w:pPr>
    </w:p>
    <w:p w14:paraId="193F9825"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Derechos a recibir efectivo o equivalentes a largo plazo</w:t>
      </w:r>
    </w:p>
    <w:p w14:paraId="37BC835B"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56081193"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Este rubro del activo del 1 de enero al 30 de junio de 2024 refleja  un importe de $ 966,367,681 pesos el cual representa el 2.2 % del activo no circulante y se compone de los gastos a comprobar pendientes de ser regularizados, los ingresos por recuperar, las ministraciones por depositar, recursos de fideicomisos, así como préstamos a funcionarios, préstamos otorgados al personal administrativo, confianza y docentes del sector educativo, subsidio al empleo, deudores por responsabilidades y sujetos a resolución judicial por concepto de manejo de valores y bienes inventariables. Además, se incluyen a los deudores por financiamientos derivado de proyectos de vivienda desarrollados por la Promotora de Vivienda Chiapas.</w:t>
      </w:r>
    </w:p>
    <w:p w14:paraId="0E97143D"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p>
    <w:p w14:paraId="54F027D9"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De igual manera, este rubro se integra por los rendimientos federales transferidos del Régimen Estatal de Protección Social en Salud (REPSS) derivado de la fusión de este mismo al Instituto de Salud y por las devoluciones de descuentos de Infonavit e IMSS.</w:t>
      </w:r>
    </w:p>
    <w:p w14:paraId="4F340308" w14:textId="77777777" w:rsidR="006D1CBA" w:rsidRPr="006D1CBA" w:rsidRDefault="006D1CBA" w:rsidP="006D1CBA">
      <w:pPr>
        <w:tabs>
          <w:tab w:val="left" w:pos="1418"/>
        </w:tabs>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lastRenderedPageBreak/>
        <w:drawing>
          <wp:inline distT="0" distB="0" distL="0" distR="0" wp14:anchorId="537A9B03" wp14:editId="2199AB84">
            <wp:extent cx="5400000" cy="1682412"/>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1682412"/>
                    </a:xfrm>
                    <a:prstGeom prst="rect">
                      <a:avLst/>
                    </a:prstGeom>
                    <a:noFill/>
                    <a:ln>
                      <a:noFill/>
                    </a:ln>
                  </pic:spPr>
                </pic:pic>
              </a:graphicData>
            </a:graphic>
          </wp:inline>
        </w:drawing>
      </w:r>
    </w:p>
    <w:p w14:paraId="19652ED6"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p>
    <w:p w14:paraId="59C294EB"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p>
    <w:p w14:paraId="18D7D8A9"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Bienes inmuebles, infraestructura y construcciones en proceso</w:t>
      </w:r>
    </w:p>
    <w:p w14:paraId="2B9F8457" w14:textId="77777777" w:rsidR="006D1CBA" w:rsidRPr="006D1CBA" w:rsidRDefault="006D1CBA" w:rsidP="006D1CBA">
      <w:pPr>
        <w:jc w:val="both"/>
        <w:rPr>
          <w:rFonts w:eastAsia="Calibri" w:cs="Times New Roman"/>
          <w:iCs w:val="0"/>
          <w:szCs w:val="22"/>
          <w:lang w:val="es-MX" w:eastAsia="en-US"/>
        </w:rPr>
      </w:pPr>
    </w:p>
    <w:p w14:paraId="21A4D93F" w14:textId="77777777" w:rsidR="006D1CBA" w:rsidRPr="006D1CBA" w:rsidRDefault="006D1CBA" w:rsidP="006D1CBA">
      <w:pPr>
        <w:jc w:val="both"/>
        <w:rPr>
          <w:rFonts w:eastAsia="Calibri" w:cs="Times New Roman"/>
          <w:b/>
          <w:bCs/>
          <w:i/>
          <w:szCs w:val="22"/>
          <w:lang w:val="es-MX" w:eastAsia="en-US"/>
        </w:rPr>
      </w:pPr>
      <w:r w:rsidRPr="006D1CBA">
        <w:rPr>
          <w:rFonts w:eastAsia="Calibri" w:cs="Times New Roman"/>
          <w:iCs w:val="0"/>
          <w:szCs w:val="22"/>
          <w:lang w:val="es-MX" w:eastAsia="en-US"/>
        </w:rPr>
        <w:t>Al 30 de junio de 2024 este rubro del activo refleja la cifra de $ 25,896,993,311 pesos y representa el valor de la infraestructura tangible, edificios no habitacionales y terrenos propiedad de las Entidades Paraestatales y Fideicomisos No Empresariales y No Financieros, así como, el valor de las obras en bienes propios y en bienes de dominio público, que se encuentran en proceso de ejecución y de las obras terminadas por transferir.</w:t>
      </w:r>
    </w:p>
    <w:p w14:paraId="4C2EFEFB" w14:textId="77777777" w:rsidR="006D1CBA" w:rsidRPr="006D1CBA" w:rsidRDefault="006D1CBA" w:rsidP="006D1CBA">
      <w:pPr>
        <w:jc w:val="both"/>
        <w:rPr>
          <w:rFonts w:eastAsia="Calibri" w:cs="Times New Roman"/>
          <w:iCs w:val="0"/>
          <w:szCs w:val="22"/>
          <w:lang w:val="es-MX" w:eastAsia="en-US"/>
        </w:rPr>
      </w:pPr>
    </w:p>
    <w:p w14:paraId="41F8CCC2" w14:textId="77777777" w:rsidR="006D1CBA" w:rsidRPr="006D1CBA" w:rsidRDefault="006D1CBA" w:rsidP="006D1CBA">
      <w:pPr>
        <w:jc w:val="both"/>
        <w:rPr>
          <w:rFonts w:eastAsia="Calibri" w:cs="Times New Roman"/>
          <w:iCs w:val="0"/>
          <w:szCs w:val="22"/>
          <w:lang w:val="es-MX" w:eastAsia="en-US"/>
        </w:rPr>
      </w:pPr>
      <w:r w:rsidRPr="006D1CBA">
        <w:rPr>
          <w:rFonts w:eastAsia="Calibri" w:cs="Times New Roman"/>
          <w:iCs w:val="0"/>
          <w:szCs w:val="22"/>
          <w:lang w:val="es-MX" w:eastAsia="en-US"/>
        </w:rPr>
        <w:t xml:space="preserve">Entre estas obras se destaca la construcción de: aulas, espacios deportivos, centros culturales, viviendas de interés social; construcción y rehabilitación de hospitales y centros de salud </w:t>
      </w:r>
      <w:proofErr w:type="spellStart"/>
      <w:r w:rsidRPr="006D1CBA">
        <w:rPr>
          <w:rFonts w:eastAsia="Calibri" w:cs="Times New Roman"/>
          <w:iCs w:val="0"/>
          <w:szCs w:val="22"/>
          <w:lang w:val="es-MX" w:eastAsia="en-US"/>
        </w:rPr>
        <w:t>microrregionales</w:t>
      </w:r>
      <w:proofErr w:type="spellEnd"/>
      <w:r w:rsidRPr="006D1CBA">
        <w:rPr>
          <w:rFonts w:eastAsia="Calibri" w:cs="Times New Roman"/>
          <w:iCs w:val="0"/>
          <w:szCs w:val="22"/>
          <w:lang w:val="es-MX" w:eastAsia="en-US"/>
        </w:rPr>
        <w:t>, y el mejoramiento de edificios públicos en distintos municipios del Estado.</w:t>
      </w:r>
    </w:p>
    <w:p w14:paraId="00D405B3" w14:textId="77777777" w:rsidR="006D1CBA" w:rsidRPr="006D1CBA" w:rsidRDefault="006D1CBA" w:rsidP="006D1CBA">
      <w:pPr>
        <w:jc w:val="both"/>
        <w:rPr>
          <w:rFonts w:eastAsia="Calibri" w:cs="Times New Roman"/>
          <w:iCs w:val="0"/>
          <w:szCs w:val="22"/>
          <w:lang w:val="es-MX" w:eastAsia="en-US"/>
        </w:rPr>
      </w:pPr>
    </w:p>
    <w:p w14:paraId="60EB419F" w14:textId="77777777" w:rsidR="006D1CBA" w:rsidRPr="006D1CBA" w:rsidRDefault="006D1CBA" w:rsidP="006D1CBA">
      <w:pPr>
        <w:jc w:val="both"/>
        <w:rPr>
          <w:rFonts w:eastAsia="Calibri" w:cs="Times New Roman"/>
          <w:iCs w:val="0"/>
          <w:szCs w:val="22"/>
          <w:lang w:val="es-MX" w:eastAsia="en-US"/>
        </w:rPr>
      </w:pPr>
      <w:r w:rsidRPr="006D1CBA">
        <w:rPr>
          <w:rFonts w:eastAsia="Calibri" w:cs="Times New Roman"/>
          <w:iCs w:val="0"/>
          <w:szCs w:val="22"/>
          <w:lang w:val="es-MX" w:eastAsia="en-US"/>
        </w:rPr>
        <w:t>Cabe mencionar que este rubro también se compone de instalaciones y equipamiento de aulas con estructuras prefabricadas, realizadas en diversos municipios del Estado. Además, se incluyen diversos predios destinados a parques y panteones.</w:t>
      </w:r>
    </w:p>
    <w:p w14:paraId="3C41674D" w14:textId="77777777" w:rsidR="006D1CBA" w:rsidRPr="006D1CBA" w:rsidRDefault="006D1CBA" w:rsidP="006D1CBA">
      <w:pPr>
        <w:jc w:val="both"/>
        <w:rPr>
          <w:rFonts w:eastAsia="Calibri" w:cs="Times New Roman"/>
          <w:iCs w:val="0"/>
          <w:szCs w:val="22"/>
          <w:lang w:val="es-MX" w:eastAsia="en-US"/>
        </w:rPr>
      </w:pPr>
    </w:p>
    <w:p w14:paraId="3424C18D" w14:textId="77777777" w:rsidR="006D1CBA" w:rsidRPr="006D1CBA" w:rsidRDefault="006D1CBA" w:rsidP="006D1CBA">
      <w:pPr>
        <w:jc w:val="both"/>
        <w:rPr>
          <w:rFonts w:eastAsia="Calibri" w:cs="Times New Roman"/>
          <w:iCs w:val="0"/>
          <w:szCs w:val="22"/>
          <w:lang w:val="es-MX" w:eastAsia="en-US"/>
        </w:rPr>
      </w:pPr>
      <w:r w:rsidRPr="006D1CBA">
        <w:rPr>
          <w:rFonts w:eastAsia="Calibri" w:cs="Times New Roman"/>
          <w:iCs w:val="0"/>
          <w:szCs w:val="22"/>
          <w:lang w:val="es-MX" w:eastAsia="en-US"/>
        </w:rPr>
        <w:t>Del total del activo no circulante este rubro representa el 59.7 %</w:t>
      </w:r>
    </w:p>
    <w:p w14:paraId="01220A21" w14:textId="77777777" w:rsidR="006D1CBA" w:rsidRPr="006D1CBA" w:rsidRDefault="006D1CBA" w:rsidP="006D1CBA">
      <w:pPr>
        <w:jc w:val="both"/>
        <w:rPr>
          <w:rFonts w:eastAsia="Calibri" w:cs="Times New Roman"/>
          <w:iCs w:val="0"/>
          <w:szCs w:val="22"/>
          <w:lang w:val="es-MX" w:eastAsia="en-US"/>
        </w:rPr>
      </w:pPr>
    </w:p>
    <w:p w14:paraId="11EB478B" w14:textId="77777777" w:rsidR="006D1CBA" w:rsidRPr="006D1CBA" w:rsidRDefault="006D1CBA" w:rsidP="006D1CBA">
      <w:pPr>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1F55B03C" wp14:editId="3556BA00">
            <wp:extent cx="5400000" cy="1863317"/>
            <wp:effectExtent l="0" t="0" r="0" b="381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00" cy="1863317"/>
                    </a:xfrm>
                    <a:prstGeom prst="rect">
                      <a:avLst/>
                    </a:prstGeom>
                    <a:noFill/>
                    <a:ln>
                      <a:noFill/>
                    </a:ln>
                  </pic:spPr>
                </pic:pic>
              </a:graphicData>
            </a:graphic>
          </wp:inline>
        </w:drawing>
      </w:r>
    </w:p>
    <w:p w14:paraId="0A2451C7"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2E61F9B3"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7FB52546"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Bienes muebles</w:t>
      </w:r>
    </w:p>
    <w:p w14:paraId="6363DD6F"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0932DC3F"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Este rubro del activo refleja el valor de los bienes muebles que poseen las Entidades Paraestatales y Fideicomisos No Empresariales y No Financieros y que al 30 de junio de 2024, asciende a un monto global de $ 4,401,911,723 pesos y representa el 10.2 %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las diferentes entidades.</w:t>
      </w:r>
    </w:p>
    <w:p w14:paraId="7F380618"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p>
    <w:p w14:paraId="234EC32D" w14:textId="77777777" w:rsidR="006D1CBA" w:rsidRPr="006D1CBA" w:rsidRDefault="006D1CBA" w:rsidP="006D1CBA">
      <w:pPr>
        <w:jc w:val="center"/>
        <w:rPr>
          <w:rFonts w:eastAsia="Calibri" w:cs="Times New Roman"/>
          <w:iCs w:val="0"/>
          <w:szCs w:val="22"/>
          <w:lang w:val="es-MX" w:eastAsia="en-US"/>
        </w:rPr>
      </w:pPr>
      <w:r w:rsidRPr="006D1CBA">
        <w:rPr>
          <w:rFonts w:eastAsia="Calibri" w:cs="Times New Roman"/>
          <w:iCs w:val="0"/>
          <w:szCs w:val="22"/>
          <w:lang w:val="es-MX" w:eastAsia="en-US"/>
        </w:rPr>
        <w:lastRenderedPageBreak/>
        <w:drawing>
          <wp:inline distT="0" distB="0" distL="0" distR="0" wp14:anchorId="5B2A616C" wp14:editId="03E85AC2">
            <wp:extent cx="5400000" cy="2225126"/>
            <wp:effectExtent l="0" t="0" r="0" b="381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0" cy="2225126"/>
                    </a:xfrm>
                    <a:prstGeom prst="rect">
                      <a:avLst/>
                    </a:prstGeom>
                    <a:noFill/>
                    <a:ln>
                      <a:noFill/>
                    </a:ln>
                  </pic:spPr>
                </pic:pic>
              </a:graphicData>
            </a:graphic>
          </wp:inline>
        </w:drawing>
      </w:r>
    </w:p>
    <w:p w14:paraId="1FA263F3" w14:textId="77777777" w:rsidR="006D1CBA" w:rsidRPr="006D1CBA" w:rsidRDefault="006D1CBA" w:rsidP="006D1CBA">
      <w:pPr>
        <w:jc w:val="both"/>
        <w:rPr>
          <w:rFonts w:eastAsia="Calibri" w:cs="Times New Roman"/>
          <w:iCs w:val="0"/>
          <w:szCs w:val="22"/>
          <w:lang w:val="es-MX" w:eastAsia="en-US"/>
        </w:rPr>
      </w:pPr>
    </w:p>
    <w:p w14:paraId="33E12982" w14:textId="77777777" w:rsidR="006D1CBA" w:rsidRPr="006D1CBA" w:rsidRDefault="006D1CBA" w:rsidP="006D1CBA">
      <w:pPr>
        <w:jc w:val="both"/>
        <w:rPr>
          <w:rFonts w:eastAsia="Calibri" w:cs="Times New Roman"/>
          <w:iCs w:val="0"/>
          <w:szCs w:val="22"/>
          <w:lang w:val="es-MX" w:eastAsia="en-US"/>
        </w:rPr>
      </w:pPr>
    </w:p>
    <w:p w14:paraId="60023DF6"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Activos intangibles</w:t>
      </w:r>
    </w:p>
    <w:p w14:paraId="510FE91F"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6A6F3389"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 xml:space="preserve">Al 30 de junio de 2024, este rubro asciende a $ 44,398,300 pesos y representa el valor de todos los bienes intangibles que poseen las Entidades Paraestatales y Fideicomisos No Empresariales y No Financieros como son: software, patentes, marcas, derechos, licencias y otros activos intangibles los cuales son necesarios para la operatividad y funcionamiento de las áreas administrativas de las entidades que la conforma. </w:t>
      </w:r>
    </w:p>
    <w:p w14:paraId="4718F07A"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22CE4CC4"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Representa el 0.1 % del activo no circulante.</w:t>
      </w:r>
    </w:p>
    <w:p w14:paraId="5F63C9E0"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12448BF1" w14:textId="77777777" w:rsidR="006D1CBA" w:rsidRPr="006D1CBA" w:rsidRDefault="006D1CBA" w:rsidP="006D1CBA">
      <w:pPr>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03EE74E2" wp14:editId="6E06C29D">
            <wp:extent cx="5400000" cy="1501508"/>
            <wp:effectExtent l="0" t="0" r="0" b="381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00" cy="1501508"/>
                    </a:xfrm>
                    <a:prstGeom prst="rect">
                      <a:avLst/>
                    </a:prstGeom>
                    <a:noFill/>
                    <a:ln>
                      <a:noFill/>
                    </a:ln>
                  </pic:spPr>
                </pic:pic>
              </a:graphicData>
            </a:graphic>
          </wp:inline>
        </w:drawing>
      </w:r>
    </w:p>
    <w:p w14:paraId="6AB94FCD" w14:textId="77777777" w:rsidR="006D1CBA" w:rsidRPr="006D1CBA" w:rsidRDefault="006D1CBA" w:rsidP="006D1CBA">
      <w:pPr>
        <w:autoSpaceDE w:val="0"/>
        <w:autoSpaceDN w:val="0"/>
        <w:adjustRightInd w:val="0"/>
        <w:jc w:val="both"/>
        <w:outlineLvl w:val="0"/>
        <w:rPr>
          <w:rFonts w:eastAsia="Calibri" w:cs="Times New Roman"/>
          <w:b/>
          <w:bCs/>
          <w:i/>
          <w:szCs w:val="22"/>
          <w:lang w:val="es-MX" w:eastAsia="en-US"/>
        </w:rPr>
      </w:pPr>
    </w:p>
    <w:p w14:paraId="62374E9A"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7ECF4FB2"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Depreciación, deterioro y amortización acumulada de bienes</w:t>
      </w:r>
    </w:p>
    <w:p w14:paraId="72315320"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694EEF61"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Este rubro refleja una cifra negativa de $ 954,172,081 pesos, el cual representa una disminución del 2.2 % del activo no circulante; se integra por la depreciación a los bienes muebles e inmuebles, así como, de la amortización de los activos intangibles de las Entidades Paraestatales y Fideicomisos No Empresariales y No Financieros; aplicándose las tasas establecidas para tal efecto en la Ley del Impuesto sobre la Renta y el procedimiento establecido por el Consejo Nacional de Armonización Contable (</w:t>
      </w:r>
      <w:proofErr w:type="spellStart"/>
      <w:r w:rsidRPr="006D1CBA">
        <w:rPr>
          <w:rFonts w:eastAsia="Calibri" w:cs="Times New Roman"/>
          <w:iCs w:val="0"/>
          <w:szCs w:val="22"/>
          <w:lang w:val="es-MX" w:eastAsia="en-US"/>
        </w:rPr>
        <w:t>Conac</w:t>
      </w:r>
      <w:proofErr w:type="spellEnd"/>
      <w:r w:rsidRPr="006D1CBA">
        <w:rPr>
          <w:rFonts w:eastAsia="Calibri" w:cs="Times New Roman"/>
          <w:iCs w:val="0"/>
          <w:szCs w:val="22"/>
          <w:lang w:val="es-MX" w:eastAsia="en-US"/>
        </w:rPr>
        <w:t>), aplicados por los entes públicos en el ejercicio 2024.</w:t>
      </w:r>
    </w:p>
    <w:p w14:paraId="144246B7"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p>
    <w:p w14:paraId="4D9F923A" w14:textId="77777777" w:rsidR="006D1CBA" w:rsidRPr="006D1CBA" w:rsidRDefault="006D1CBA" w:rsidP="006D1CBA">
      <w:pPr>
        <w:tabs>
          <w:tab w:val="left" w:pos="1418"/>
        </w:tabs>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1464E9F0" wp14:editId="7E6F5B0D">
            <wp:extent cx="5400000" cy="1320603"/>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00" cy="1320603"/>
                    </a:xfrm>
                    <a:prstGeom prst="rect">
                      <a:avLst/>
                    </a:prstGeom>
                    <a:noFill/>
                    <a:ln>
                      <a:noFill/>
                    </a:ln>
                  </pic:spPr>
                </pic:pic>
              </a:graphicData>
            </a:graphic>
          </wp:inline>
        </w:drawing>
      </w:r>
    </w:p>
    <w:p w14:paraId="7DB99A4D" w14:textId="77777777" w:rsidR="006D1CBA" w:rsidRPr="006D1CBA" w:rsidRDefault="006D1CBA" w:rsidP="006D1CBA">
      <w:pPr>
        <w:autoSpaceDE w:val="0"/>
        <w:autoSpaceDN w:val="0"/>
        <w:adjustRightInd w:val="0"/>
        <w:jc w:val="both"/>
        <w:outlineLvl w:val="0"/>
        <w:rPr>
          <w:rFonts w:eastAsia="Calibri" w:cs="Times New Roman"/>
          <w:b/>
          <w:bCs/>
          <w:i/>
          <w:szCs w:val="22"/>
          <w:lang w:val="es-MX" w:eastAsia="en-US"/>
        </w:rPr>
      </w:pPr>
    </w:p>
    <w:p w14:paraId="54617701" w14:textId="77777777" w:rsidR="006D1CBA" w:rsidRPr="006D1CBA" w:rsidRDefault="006D1CBA" w:rsidP="006D1CBA">
      <w:pPr>
        <w:autoSpaceDE w:val="0"/>
        <w:autoSpaceDN w:val="0"/>
        <w:adjustRightInd w:val="0"/>
        <w:jc w:val="both"/>
        <w:outlineLvl w:val="0"/>
        <w:rPr>
          <w:rFonts w:eastAsia="Calibri" w:cs="Times New Roman"/>
          <w:b/>
          <w:bCs/>
          <w:i/>
          <w:szCs w:val="22"/>
          <w:lang w:val="es-MX" w:eastAsia="en-US"/>
        </w:rPr>
      </w:pPr>
    </w:p>
    <w:p w14:paraId="3A1F4518" w14:textId="77777777" w:rsidR="006D1CBA" w:rsidRPr="006D1CBA" w:rsidRDefault="006D1CBA" w:rsidP="006D1CBA">
      <w:pPr>
        <w:spacing w:after="160" w:line="259" w:lineRule="auto"/>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br w:type="page"/>
      </w:r>
    </w:p>
    <w:p w14:paraId="5CAA7A7D"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lastRenderedPageBreak/>
        <w:t>Activos diferidos</w:t>
      </w:r>
    </w:p>
    <w:p w14:paraId="132A0646" w14:textId="77777777" w:rsidR="006D1CBA" w:rsidRPr="006D1CBA" w:rsidRDefault="006D1CBA" w:rsidP="006D1CBA">
      <w:pPr>
        <w:jc w:val="both"/>
        <w:rPr>
          <w:rFonts w:eastAsia="Calibri" w:cs="Times New Roman"/>
          <w:iCs w:val="0"/>
          <w:szCs w:val="22"/>
          <w:lang w:val="es-MX" w:eastAsia="en-US"/>
        </w:rPr>
      </w:pPr>
    </w:p>
    <w:p w14:paraId="4E3F5E61" w14:textId="77777777" w:rsidR="006D1CBA" w:rsidRPr="006D1CBA" w:rsidRDefault="006D1CBA" w:rsidP="006D1CBA">
      <w:pPr>
        <w:jc w:val="both"/>
        <w:rPr>
          <w:rFonts w:eastAsia="Calibri" w:cs="Times New Roman"/>
          <w:iCs w:val="0"/>
          <w:szCs w:val="22"/>
          <w:lang w:val="es-MX" w:eastAsia="en-US"/>
        </w:rPr>
      </w:pPr>
      <w:r w:rsidRPr="006D1CBA">
        <w:rPr>
          <w:rFonts w:eastAsia="Calibri" w:cs="Times New Roman"/>
          <w:iCs w:val="0"/>
          <w:szCs w:val="22"/>
          <w:lang w:val="es-MX" w:eastAsia="en-US"/>
        </w:rPr>
        <w:t>El saldo de este rubro asciende a $ 11,595,063,210 pesos y se integra por: estudios, formulación y evaluación de proyectos con $ 1,767,507 pesos, los anticipos otorgados a proveedores por la adquisición de bienes y prestación de servicios, asimismo, por los anticipos a contratistas de obras, con $ 257,607,311 pesos; así como, operaciones transitorias por regularizar por $ 11,335,688,392 pesos integradas por: $ 11,222,336,350  pesos correspondientes a recursos de años anteriores y  $ 113,352,042 pesos por recursos del periodo que se informa.</w:t>
      </w:r>
    </w:p>
    <w:p w14:paraId="70149CDB" w14:textId="77777777" w:rsidR="006D1CBA" w:rsidRPr="006D1CBA" w:rsidRDefault="006D1CBA" w:rsidP="006D1CBA">
      <w:pPr>
        <w:jc w:val="both"/>
        <w:rPr>
          <w:rFonts w:eastAsia="Calibri" w:cs="Times New Roman"/>
          <w:iCs w:val="0"/>
          <w:szCs w:val="22"/>
          <w:lang w:val="es-MX" w:eastAsia="en-US"/>
        </w:rPr>
      </w:pPr>
    </w:p>
    <w:p w14:paraId="61D273CB"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Al 30 de junio de 2024, este rubro representa el 26.8 % respecto al total del activo no circulante.</w:t>
      </w:r>
    </w:p>
    <w:p w14:paraId="61B124DC"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63DFFE43" w14:textId="77777777" w:rsidR="006D1CBA" w:rsidRPr="006D1CBA" w:rsidRDefault="006D1CBA" w:rsidP="006D1CBA">
      <w:pPr>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1104EAC6" wp14:editId="04AF7AE3">
            <wp:extent cx="5400000" cy="1320603"/>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00" cy="1320603"/>
                    </a:xfrm>
                    <a:prstGeom prst="rect">
                      <a:avLst/>
                    </a:prstGeom>
                    <a:noFill/>
                    <a:ln>
                      <a:noFill/>
                    </a:ln>
                  </pic:spPr>
                </pic:pic>
              </a:graphicData>
            </a:graphic>
          </wp:inline>
        </w:drawing>
      </w:r>
    </w:p>
    <w:p w14:paraId="232A3139" w14:textId="77777777" w:rsidR="006D1CBA" w:rsidRPr="006D1CBA" w:rsidRDefault="006D1CBA" w:rsidP="006D1CBA">
      <w:pPr>
        <w:jc w:val="both"/>
        <w:rPr>
          <w:rFonts w:eastAsia="Calibri" w:cs="Times New Roman"/>
          <w:iCs w:val="0"/>
          <w:szCs w:val="22"/>
          <w:lang w:val="es-MX" w:eastAsia="en-US"/>
        </w:rPr>
      </w:pPr>
    </w:p>
    <w:p w14:paraId="24AF2C3A" w14:textId="77777777" w:rsidR="006D1CBA" w:rsidRPr="006D1CBA" w:rsidRDefault="006D1CBA" w:rsidP="006D1CBA">
      <w:pPr>
        <w:jc w:val="both"/>
        <w:rPr>
          <w:rFonts w:eastAsia="Calibri" w:cs="Times New Roman"/>
          <w:iCs w:val="0"/>
          <w:szCs w:val="22"/>
          <w:lang w:val="es-MX" w:eastAsia="en-US"/>
        </w:rPr>
      </w:pPr>
    </w:p>
    <w:p w14:paraId="6F4082B6"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Otros activos no circulantes</w:t>
      </w:r>
    </w:p>
    <w:p w14:paraId="18E37190"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68885516"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 xml:space="preserve">Los otros activos no circulantes, reflejan el valor de los bienes muebles e inmuebles de los entes públicos, que se encuentran bajo contrato de comodato, estos bienes se otorgan entre entes públicos de las Entidades Paraestatales y Fideicomisos No Empresariales y No Financieros. </w:t>
      </w:r>
    </w:p>
    <w:p w14:paraId="51351A89"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7D47E909"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Al 30 de junio de 2024 el saldo de este rubro asciende a $ 1,012,204,573 pesos y representa el 2.3 % respecto al total del activo no circulante.</w:t>
      </w:r>
    </w:p>
    <w:p w14:paraId="4AC3F45B"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5A822B16" w14:textId="77777777" w:rsidR="006D1CBA" w:rsidRPr="006D1CBA" w:rsidRDefault="006D1CBA" w:rsidP="006D1CBA">
      <w:pPr>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5B09F87B" wp14:editId="288E725B">
            <wp:extent cx="5400000" cy="958794"/>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00" cy="958794"/>
                    </a:xfrm>
                    <a:prstGeom prst="rect">
                      <a:avLst/>
                    </a:prstGeom>
                    <a:noFill/>
                    <a:ln>
                      <a:noFill/>
                    </a:ln>
                  </pic:spPr>
                </pic:pic>
              </a:graphicData>
            </a:graphic>
          </wp:inline>
        </w:drawing>
      </w:r>
    </w:p>
    <w:p w14:paraId="4EBBD7A3" w14:textId="77777777" w:rsidR="006D1CBA" w:rsidRPr="006D1CBA" w:rsidRDefault="006D1CBA" w:rsidP="006D1CBA">
      <w:pPr>
        <w:jc w:val="both"/>
        <w:rPr>
          <w:rFonts w:eastAsia="Calibri" w:cs="Times New Roman"/>
          <w:b/>
          <w:bCs/>
          <w:szCs w:val="22"/>
          <w:lang w:val="es-MX" w:eastAsia="en-US"/>
        </w:rPr>
      </w:pPr>
      <w:bookmarkStart w:id="3" w:name="_Hlk125467269"/>
    </w:p>
    <w:p w14:paraId="174C7098"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Pasivo</w:t>
      </w:r>
    </w:p>
    <w:p w14:paraId="6A882BAB" w14:textId="77777777" w:rsidR="006D1CBA" w:rsidRPr="006D1CBA" w:rsidRDefault="006D1CBA" w:rsidP="006D1CBA">
      <w:pPr>
        <w:autoSpaceDE w:val="0"/>
        <w:autoSpaceDN w:val="0"/>
        <w:adjustRightInd w:val="0"/>
        <w:jc w:val="both"/>
        <w:rPr>
          <w:rFonts w:eastAsia="Calibri" w:cs="Times New Roman"/>
          <w:b/>
          <w:bCs/>
          <w:iCs w:val="0"/>
          <w:szCs w:val="22"/>
          <w:lang w:val="es-MX" w:eastAsia="en-US"/>
        </w:rPr>
      </w:pPr>
    </w:p>
    <w:bookmarkEnd w:id="3"/>
    <w:p w14:paraId="05001EA9"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Es el conjunto de cuentas que permiten el registro de las obligaciones contraídas por los entes públicos, para el desarrollo de sus funciones y la prestación de los servicios públicos. Al 30 de junio de 2024,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70A4DD35" w14:textId="77777777" w:rsidR="006D1CBA" w:rsidRPr="006D1CBA" w:rsidRDefault="006D1CBA" w:rsidP="006D1CBA">
      <w:pPr>
        <w:jc w:val="both"/>
        <w:rPr>
          <w:rFonts w:eastAsia="Calibri" w:cs="Times New Roman"/>
          <w:b/>
          <w:bCs/>
          <w:iCs w:val="0"/>
          <w:szCs w:val="22"/>
          <w:lang w:val="es-MX" w:eastAsia="en-US"/>
        </w:rPr>
      </w:pPr>
    </w:p>
    <w:p w14:paraId="7FC733B6" w14:textId="77777777" w:rsidR="006D1CBA" w:rsidRPr="006D1CBA" w:rsidRDefault="006D1CBA" w:rsidP="006D1CBA">
      <w:pPr>
        <w:spacing w:after="160" w:line="259" w:lineRule="auto"/>
        <w:rPr>
          <w:rFonts w:eastAsia="Calibri" w:cs="Times New Roman"/>
          <w:b/>
          <w:bCs/>
          <w:iCs w:val="0"/>
          <w:szCs w:val="22"/>
          <w:lang w:val="es-MX" w:eastAsia="en-US"/>
        </w:rPr>
      </w:pPr>
      <w:r w:rsidRPr="006D1CBA">
        <w:rPr>
          <w:rFonts w:eastAsia="Calibri" w:cs="Times New Roman"/>
          <w:b/>
          <w:bCs/>
          <w:iCs w:val="0"/>
          <w:szCs w:val="22"/>
          <w:lang w:val="es-MX" w:eastAsia="en-US"/>
        </w:rPr>
        <w:br w:type="page"/>
      </w:r>
    </w:p>
    <w:p w14:paraId="1817B7E5"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lastRenderedPageBreak/>
        <w:t>Circulante</w:t>
      </w:r>
    </w:p>
    <w:p w14:paraId="60F67985" w14:textId="77777777" w:rsidR="006D1CBA" w:rsidRPr="006D1CBA" w:rsidRDefault="006D1CBA" w:rsidP="006D1CBA">
      <w:pPr>
        <w:autoSpaceDE w:val="0"/>
        <w:autoSpaceDN w:val="0"/>
        <w:adjustRightInd w:val="0"/>
        <w:jc w:val="both"/>
        <w:rPr>
          <w:rFonts w:eastAsia="Calibri" w:cs="Times New Roman"/>
          <w:b/>
          <w:bCs/>
          <w:iCs w:val="0"/>
          <w:szCs w:val="22"/>
          <w:lang w:val="es-MX" w:eastAsia="en-US"/>
        </w:rPr>
      </w:pPr>
    </w:p>
    <w:p w14:paraId="6AA0DF65" w14:textId="77777777" w:rsidR="006D1CBA" w:rsidRPr="006D1CBA" w:rsidRDefault="006D1CBA" w:rsidP="006D1CBA">
      <w:pPr>
        <w:autoSpaceDE w:val="0"/>
        <w:autoSpaceDN w:val="0"/>
        <w:adjustRightInd w:val="0"/>
        <w:jc w:val="center"/>
        <w:rPr>
          <w:rFonts w:eastAsia="Calibri" w:cs="Times New Roman"/>
          <w:b/>
          <w:bCs/>
          <w:iCs w:val="0"/>
          <w:szCs w:val="22"/>
          <w:lang w:val="es-MX" w:eastAsia="en-US"/>
        </w:rPr>
      </w:pPr>
      <w:r w:rsidRPr="006D1CBA">
        <w:rPr>
          <w:rFonts w:eastAsia="Calibri" w:cs="Times New Roman"/>
          <w:b/>
          <w:bCs/>
          <w:iCs w:val="0"/>
          <w:noProof/>
          <w:szCs w:val="22"/>
          <w:lang w:val="es-MX" w:eastAsia="en-US"/>
        </w:rPr>
        <w:drawing>
          <wp:inline distT="0" distB="0" distL="0" distR="0" wp14:anchorId="7BC5E792" wp14:editId="7251B60F">
            <wp:extent cx="5316220" cy="2170430"/>
            <wp:effectExtent l="0" t="0" r="0" b="127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6220" cy="2170430"/>
                    </a:xfrm>
                    <a:prstGeom prst="rect">
                      <a:avLst/>
                    </a:prstGeom>
                    <a:noFill/>
                  </pic:spPr>
                </pic:pic>
              </a:graphicData>
            </a:graphic>
          </wp:inline>
        </w:drawing>
      </w:r>
    </w:p>
    <w:p w14:paraId="38A71E1A" w14:textId="77777777" w:rsidR="006D1CBA" w:rsidRPr="006D1CBA" w:rsidRDefault="006D1CBA" w:rsidP="006D1CBA">
      <w:pPr>
        <w:numPr>
          <w:ilvl w:val="1"/>
          <w:numId w:val="0"/>
        </w:numPr>
        <w:jc w:val="both"/>
        <w:rPr>
          <w:rFonts w:eastAsia="Calibri" w:cs="Times New Roman"/>
          <w:b/>
          <w:i/>
          <w:iCs w:val="0"/>
          <w:color w:val="B09A5B"/>
          <w:szCs w:val="22"/>
          <w:lang w:val="es-MX" w:eastAsia="en-US"/>
        </w:rPr>
      </w:pPr>
    </w:p>
    <w:p w14:paraId="7E3AA14F" w14:textId="77777777" w:rsidR="006D1CBA" w:rsidRPr="006D1CBA" w:rsidRDefault="006D1CBA" w:rsidP="006D1CBA">
      <w:pPr>
        <w:numPr>
          <w:ilvl w:val="1"/>
          <w:numId w:val="0"/>
        </w:numPr>
        <w:jc w:val="both"/>
        <w:rPr>
          <w:rFonts w:eastAsia="Calibri" w:cs="Times New Roman"/>
          <w:b/>
          <w:i/>
          <w:iCs w:val="0"/>
          <w:color w:val="B09A5B"/>
          <w:szCs w:val="22"/>
          <w:lang w:val="es-MX" w:eastAsia="en-US"/>
        </w:rPr>
      </w:pPr>
    </w:p>
    <w:p w14:paraId="2A4B5A0C"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Cuentas por pagar a corto plazo</w:t>
      </w:r>
    </w:p>
    <w:p w14:paraId="27CA4C10"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16D4C327" w14:textId="77777777" w:rsidR="006D1CBA" w:rsidRPr="006D1CBA" w:rsidRDefault="006D1CBA" w:rsidP="006D1CBA">
      <w:pPr>
        <w:jc w:val="both"/>
        <w:outlineLvl w:val="0"/>
        <w:rPr>
          <w:rFonts w:eastAsia="Calibri" w:cs="Times New Roman"/>
          <w:bCs/>
          <w:szCs w:val="22"/>
          <w:lang w:val="es-MX" w:eastAsia="en-US"/>
        </w:rPr>
      </w:pPr>
      <w:r w:rsidRPr="006D1CBA">
        <w:rPr>
          <w:rFonts w:eastAsia="Calibri" w:cs="Times New Roman"/>
          <w:bCs/>
          <w:iCs w:val="0"/>
          <w:szCs w:val="22"/>
          <w:lang w:val="es-MX" w:eastAsia="en-US"/>
        </w:rPr>
        <w:t>Al 30 de junio de 2024 este rubro asciende a $ 3,189,416,634 pesos, y representa el 63.8 % del pasivo circulante.</w:t>
      </w:r>
    </w:p>
    <w:p w14:paraId="7B4F71A0" w14:textId="77777777" w:rsidR="006D1CBA" w:rsidRPr="006D1CBA" w:rsidRDefault="006D1CBA" w:rsidP="006D1CBA">
      <w:pPr>
        <w:jc w:val="both"/>
        <w:outlineLvl w:val="0"/>
        <w:rPr>
          <w:rFonts w:eastAsia="Calibri" w:cs="Times New Roman"/>
          <w:bCs/>
          <w:szCs w:val="22"/>
          <w:lang w:val="es-MX" w:eastAsia="en-US"/>
        </w:rPr>
      </w:pPr>
    </w:p>
    <w:p w14:paraId="31C70BC0"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bCs/>
          <w:iCs w:val="0"/>
          <w:szCs w:val="22"/>
          <w:lang w:val="es-MX" w:eastAsia="en-US"/>
        </w:rPr>
        <w:t xml:space="preserve">Se integra por los pasivos </w:t>
      </w:r>
      <w:r w:rsidRPr="006D1CBA">
        <w:rPr>
          <w:rFonts w:eastAsia="Calibri" w:cs="Times New Roman"/>
          <w:iCs w:val="0"/>
          <w:szCs w:val="22"/>
          <w:lang w:val="es-MX" w:eastAsia="en-US"/>
        </w:rPr>
        <w:t>de prestaciones salariales, sueldos prima quinquenal, prima vacacional y dominical, despensa, incentivos y estímulos, previsión social múltiple y aguinaldo devengado no pagado a la fecha que se informa, además por las aportaciones patronales al Instituto Mexicano del Seguro Social (IMSS) e Instituto del Fondo Nacional de la Vivienda para los Trabajadores (Infonavit), también para el Sistema de Ahorro para el Retiro (SAR), Instituto de Seguridad y Servicios Sociales de los Trabajadores del Estado (ISSSTE) y Fondo de la Vivienda del Instituto de Seguridad y Servicios Sociales de los Trabajadores del Estado (</w:t>
      </w:r>
      <w:proofErr w:type="spellStart"/>
      <w:r w:rsidRPr="006D1CBA">
        <w:rPr>
          <w:rFonts w:eastAsia="Calibri" w:cs="Times New Roman"/>
          <w:iCs w:val="0"/>
          <w:szCs w:val="22"/>
          <w:lang w:val="es-MX" w:eastAsia="en-US"/>
        </w:rPr>
        <w:t>Fovissste</w:t>
      </w:r>
      <w:proofErr w:type="spellEnd"/>
      <w:r w:rsidRPr="006D1CBA">
        <w:rPr>
          <w:rFonts w:eastAsia="Calibri" w:cs="Times New Roman"/>
          <w:iCs w:val="0"/>
          <w:szCs w:val="22"/>
          <w:lang w:val="es-MX" w:eastAsia="en-US"/>
        </w:rPr>
        <w:t>), aportaciones para seguro de vida, además del 2 % del Impuesto Sobre Nóminas.</w:t>
      </w:r>
    </w:p>
    <w:p w14:paraId="3C1A8BB5" w14:textId="77777777" w:rsidR="006D1CBA" w:rsidRPr="006D1CBA" w:rsidRDefault="006D1CBA" w:rsidP="006D1CBA">
      <w:pPr>
        <w:ind w:left="708" w:hanging="708"/>
        <w:jc w:val="both"/>
        <w:outlineLvl w:val="0"/>
        <w:rPr>
          <w:rFonts w:eastAsia="Calibri" w:cs="Times New Roman"/>
          <w:iCs w:val="0"/>
          <w:szCs w:val="22"/>
          <w:lang w:val="es-MX" w:eastAsia="en-US"/>
        </w:rPr>
      </w:pPr>
    </w:p>
    <w:p w14:paraId="616E791E"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Así mismo, este rubro está compuesto por los siguientes conceptos:</w:t>
      </w:r>
    </w:p>
    <w:p w14:paraId="66294FFC" w14:textId="77777777" w:rsidR="006D1CBA" w:rsidRPr="006D1CBA" w:rsidRDefault="006D1CBA" w:rsidP="006D1CBA">
      <w:pPr>
        <w:jc w:val="both"/>
        <w:outlineLvl w:val="0"/>
        <w:rPr>
          <w:rFonts w:eastAsia="Calibri" w:cs="Times New Roman"/>
          <w:iCs w:val="0"/>
          <w:szCs w:val="22"/>
          <w:lang w:val="es-MX" w:eastAsia="en-US"/>
        </w:rPr>
      </w:pPr>
    </w:p>
    <w:p w14:paraId="59EE5973"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Compromisos contraídos por las entidades derivado de la adquisición de bienes de consumo e inventariables, así como por la contratación de servicios necesarios para la optimización de la operatividad de las Entidades Paraestatales y Fideicomisos No Empresariales y No Financieros, mismos que se encuentran pendientes de pago; así también, el registro de estimaciones por las obligaciones contraídas con contratistas.</w:t>
      </w:r>
    </w:p>
    <w:p w14:paraId="27EA87FD"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Las transferencias por depositar de ayudas sociales para personas, así como, los subsidios a las Entidades Paraestatales y Fideicomisos No Empresariales y No Financieros, para gastos de operación y servicios personales.</w:t>
      </w:r>
    </w:p>
    <w:p w14:paraId="6B6FCE5F"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 xml:space="preserve">Por el registro de las retenciones por servicios personales: ISSS, cuotas </w:t>
      </w:r>
      <w:r w:rsidRPr="006D1CBA">
        <w:rPr>
          <w:rFonts w:eastAsia="Calibri" w:cs="Times New Roman"/>
          <w:iCs w:val="0"/>
          <w:szCs w:val="22"/>
          <w:lang w:val="es-MX" w:eastAsia="en-US"/>
        </w:rPr>
        <w:t xml:space="preserve">IMSS, cuotas Infonavit, cuotas ISSSTE, cuotas SAR, cuotas </w:t>
      </w:r>
      <w:proofErr w:type="spellStart"/>
      <w:r w:rsidRPr="006D1CBA">
        <w:rPr>
          <w:rFonts w:eastAsia="Calibri" w:cs="Times New Roman"/>
          <w:iCs w:val="0"/>
          <w:szCs w:val="22"/>
          <w:lang w:val="es-MX" w:eastAsia="en-US"/>
        </w:rPr>
        <w:t>Fovissste</w:t>
      </w:r>
      <w:proofErr w:type="spellEnd"/>
      <w:r w:rsidRPr="006D1CBA">
        <w:rPr>
          <w:rFonts w:eastAsia="Calibri" w:cs="Times New Roman"/>
          <w:iCs w:val="0"/>
          <w:szCs w:val="22"/>
          <w:lang w:val="es-MX" w:eastAsia="es-MX"/>
        </w:rPr>
        <w:t>; crédito Fonacot, cuotas sindicales, seguro de retiro, seguro de vida, disciplinarios, pensión alimenticia, aportaciones al Fondo de Ahorro Capitalizable de los Trabajadores al Servicio del Estado (</w:t>
      </w:r>
      <w:proofErr w:type="spellStart"/>
      <w:r w:rsidRPr="006D1CBA">
        <w:rPr>
          <w:rFonts w:eastAsia="Calibri" w:cs="Times New Roman"/>
          <w:iCs w:val="0"/>
          <w:szCs w:val="22"/>
          <w:lang w:val="es-MX" w:eastAsia="es-MX"/>
        </w:rPr>
        <w:t>Fonac</w:t>
      </w:r>
      <w:proofErr w:type="spellEnd"/>
      <w:r w:rsidRPr="006D1CBA">
        <w:rPr>
          <w:rFonts w:eastAsia="Calibri" w:cs="Times New Roman"/>
          <w:iCs w:val="0"/>
          <w:szCs w:val="22"/>
          <w:lang w:val="es-MX" w:eastAsia="es-MX"/>
        </w:rPr>
        <w:t>), así como al Fondo Económico de Apoyo Social y para el Retiro (</w:t>
      </w:r>
      <w:proofErr w:type="spellStart"/>
      <w:r w:rsidRPr="006D1CBA">
        <w:rPr>
          <w:rFonts w:eastAsia="Calibri" w:cs="Times New Roman"/>
          <w:iCs w:val="0"/>
          <w:szCs w:val="22"/>
          <w:lang w:val="es-MX" w:eastAsia="es-MX"/>
        </w:rPr>
        <w:t>FEASyR</w:t>
      </w:r>
      <w:proofErr w:type="spellEnd"/>
      <w:r w:rsidRPr="006D1CBA">
        <w:rPr>
          <w:rFonts w:eastAsia="Calibri" w:cs="Times New Roman"/>
          <w:iCs w:val="0"/>
          <w:szCs w:val="22"/>
          <w:lang w:val="es-MX" w:eastAsia="es-MX"/>
        </w:rPr>
        <w:t>); recuperaciones de préstamos, además, por las retenciones y contribuciones a favor de terceros, préstamos a instituciones financieras, 2 % de Impuesto Sobre Nóminas por Laudo, IVA e ISR por honorarios y/o arrendamiento a inmuebles.</w:t>
      </w:r>
    </w:p>
    <w:p w14:paraId="3B4D0E12"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Por los juicios ejecutivos mercantiles (embargos), rendimientos bancarios, depósitos no identificados y por aclarar, reintegros por aplicar, viáticos, así como los recursos por depositar del Fondo de Aportaciones para la Seguridad Pública (FASP) y del Fondo para el Fortalecimiento de las Instituciones de Seguridad Pública (</w:t>
      </w:r>
      <w:proofErr w:type="spellStart"/>
      <w:r w:rsidRPr="006D1CBA">
        <w:rPr>
          <w:rFonts w:eastAsia="Calibri" w:cs="Times New Roman"/>
          <w:iCs w:val="0"/>
          <w:szCs w:val="22"/>
          <w:lang w:val="es-MX" w:eastAsia="es-MX"/>
        </w:rPr>
        <w:t>Fofisp</w:t>
      </w:r>
      <w:proofErr w:type="spellEnd"/>
      <w:r w:rsidRPr="006D1CBA">
        <w:rPr>
          <w:rFonts w:eastAsia="Calibri" w:cs="Times New Roman"/>
          <w:iCs w:val="0"/>
          <w:szCs w:val="22"/>
          <w:lang w:val="es-MX" w:eastAsia="es-MX"/>
        </w:rPr>
        <w:t>) a las Entidades Paraestatales y Fideicomisos No Empresariales y No Financieros, para gastos de operación y servicios personales.</w:t>
      </w:r>
    </w:p>
    <w:p w14:paraId="16219040" w14:textId="77777777" w:rsidR="006D1CBA" w:rsidRPr="006D1CBA" w:rsidRDefault="006D1CBA" w:rsidP="006D1CBA">
      <w:pPr>
        <w:jc w:val="both"/>
        <w:outlineLvl w:val="0"/>
        <w:rPr>
          <w:rFonts w:eastAsia="Calibri" w:cs="Times New Roman"/>
          <w:iCs w:val="0"/>
          <w:szCs w:val="22"/>
          <w:lang w:val="es-MX" w:eastAsia="es-MX"/>
        </w:rPr>
      </w:pPr>
    </w:p>
    <w:p w14:paraId="20A79436" w14:textId="77777777" w:rsidR="006D1CBA" w:rsidRPr="006D1CBA" w:rsidRDefault="006D1CBA" w:rsidP="006D1CBA">
      <w:pPr>
        <w:jc w:val="both"/>
        <w:outlineLvl w:val="0"/>
        <w:rPr>
          <w:rFonts w:eastAsia="Calibri" w:cs="Times New Roman"/>
          <w:iCs w:val="0"/>
          <w:szCs w:val="22"/>
          <w:lang w:val="es-MX" w:eastAsia="es-MX"/>
        </w:rPr>
      </w:pPr>
      <w:r w:rsidRPr="006D1CBA">
        <w:rPr>
          <w:rFonts w:eastAsia="Calibri" w:cs="Times New Roman"/>
          <w:iCs w:val="0"/>
          <w:szCs w:val="22"/>
          <w:lang w:val="es-MX" w:eastAsia="es-MX"/>
        </w:rPr>
        <w:t xml:space="preserve">Así mismo, incluye las retenciones efectuadas a los contratistas por obra pública, por los siguientes conceptos: </w:t>
      </w:r>
    </w:p>
    <w:p w14:paraId="57ED8E7E" w14:textId="77777777" w:rsidR="006D1CBA" w:rsidRPr="006D1CBA" w:rsidRDefault="006D1CBA" w:rsidP="006D1CBA">
      <w:pPr>
        <w:jc w:val="both"/>
        <w:outlineLvl w:val="0"/>
        <w:rPr>
          <w:rFonts w:eastAsia="Calibri" w:cs="Times New Roman"/>
          <w:iCs w:val="0"/>
          <w:szCs w:val="22"/>
          <w:lang w:val="es-MX" w:eastAsia="es-MX"/>
        </w:rPr>
      </w:pPr>
    </w:p>
    <w:p w14:paraId="4F805E6D" w14:textId="77777777" w:rsidR="006D1CBA" w:rsidRPr="006D1CBA" w:rsidRDefault="006D1CBA" w:rsidP="006D1CBA">
      <w:pPr>
        <w:numPr>
          <w:ilvl w:val="0"/>
          <w:numId w:val="7"/>
        </w:numPr>
        <w:spacing w:after="24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3 al millar para el Instituto de Capacitación a los Trabajadores de la Industria de la Construcción, y</w:t>
      </w:r>
    </w:p>
    <w:p w14:paraId="0AB34F99" w14:textId="77777777" w:rsidR="006D1CBA" w:rsidRPr="006D1CBA" w:rsidRDefault="006D1CBA" w:rsidP="006D1CBA">
      <w:pPr>
        <w:numPr>
          <w:ilvl w:val="0"/>
          <w:numId w:val="7"/>
        </w:numPr>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5 al millar de inspección y vigilancia.</w:t>
      </w:r>
    </w:p>
    <w:p w14:paraId="1C014573" w14:textId="77777777" w:rsidR="006D1CBA" w:rsidRPr="006D1CBA" w:rsidRDefault="006D1CBA" w:rsidP="006D1CBA">
      <w:pPr>
        <w:jc w:val="center"/>
        <w:outlineLvl w:val="0"/>
        <w:rPr>
          <w:rFonts w:eastAsia="Calibri" w:cs="Times New Roman"/>
          <w:iCs w:val="0"/>
          <w:szCs w:val="22"/>
          <w:lang w:val="es-MX" w:eastAsia="en-US"/>
        </w:rPr>
      </w:pPr>
      <w:r w:rsidRPr="006D1CBA">
        <w:rPr>
          <w:rFonts w:eastAsia="Calibri" w:cs="Times New Roman"/>
          <w:iCs w:val="0"/>
          <w:szCs w:val="22"/>
          <w:lang w:val="es-MX" w:eastAsia="en-US"/>
        </w:rPr>
        <w:lastRenderedPageBreak/>
        <w:drawing>
          <wp:inline distT="0" distB="0" distL="0" distR="0" wp14:anchorId="43C25E8D" wp14:editId="12B21FDE">
            <wp:extent cx="5400000" cy="1863317"/>
            <wp:effectExtent l="0" t="0" r="0" b="381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00" cy="1863317"/>
                    </a:xfrm>
                    <a:prstGeom prst="rect">
                      <a:avLst/>
                    </a:prstGeom>
                    <a:noFill/>
                    <a:ln>
                      <a:noFill/>
                    </a:ln>
                  </pic:spPr>
                </pic:pic>
              </a:graphicData>
            </a:graphic>
          </wp:inline>
        </w:drawing>
      </w:r>
    </w:p>
    <w:p w14:paraId="77D20E56" w14:textId="77777777" w:rsidR="006D1CBA" w:rsidRPr="006D1CBA" w:rsidRDefault="006D1CBA" w:rsidP="006D1CBA">
      <w:pPr>
        <w:jc w:val="both"/>
        <w:outlineLvl w:val="0"/>
        <w:rPr>
          <w:rFonts w:eastAsia="Calibri" w:cs="Times New Roman"/>
          <w:iCs w:val="0"/>
          <w:szCs w:val="22"/>
          <w:lang w:val="es-MX" w:eastAsia="en-US"/>
        </w:rPr>
      </w:pPr>
    </w:p>
    <w:p w14:paraId="507CF6F9" w14:textId="77777777" w:rsidR="006D1CBA" w:rsidRPr="006D1CBA" w:rsidRDefault="006D1CBA" w:rsidP="006D1CBA">
      <w:pPr>
        <w:jc w:val="both"/>
        <w:outlineLvl w:val="0"/>
        <w:rPr>
          <w:rFonts w:eastAsia="Calibri" w:cs="Times New Roman"/>
          <w:iCs w:val="0"/>
          <w:szCs w:val="22"/>
          <w:lang w:val="es-MX" w:eastAsia="en-US"/>
        </w:rPr>
      </w:pPr>
    </w:p>
    <w:p w14:paraId="651B8080"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Fondos y bienes de terceros en garantía y/o administración a corto plazo</w:t>
      </w:r>
    </w:p>
    <w:p w14:paraId="6B1DAABB"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6C2BA7EA"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En este rubro se presenta la cantidad de $ 626,094,045 pesos al 30 de junio de 2024, se integra por las obligaciones adquiridas con recursos propios y recursos ajenos, de recursos administrados por las Entidades Paraestatales y Fideicomisos No Empresariales y No Financieros para propósitos afines como: gastos a comprobar, pago a proveedores, servicios personales, retenciones a contratistas y contribuciones.</w:t>
      </w:r>
    </w:p>
    <w:p w14:paraId="61D5B012" w14:textId="77777777" w:rsidR="006D1CBA" w:rsidRPr="006D1CBA" w:rsidRDefault="006D1CBA" w:rsidP="006D1CBA">
      <w:pPr>
        <w:jc w:val="both"/>
        <w:outlineLvl w:val="0"/>
        <w:rPr>
          <w:rFonts w:eastAsia="Calibri" w:cs="Times New Roman"/>
          <w:iCs w:val="0"/>
          <w:szCs w:val="22"/>
          <w:lang w:val="es-MX" w:eastAsia="en-US"/>
        </w:rPr>
      </w:pPr>
    </w:p>
    <w:p w14:paraId="5DD08A50"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Así mismo, se incluyen los recursos de programas educativos, así como:</w:t>
      </w:r>
    </w:p>
    <w:p w14:paraId="24570EDC" w14:textId="77777777" w:rsidR="006D1CBA" w:rsidRPr="006D1CBA" w:rsidRDefault="006D1CBA" w:rsidP="006D1CBA">
      <w:pPr>
        <w:jc w:val="both"/>
        <w:outlineLvl w:val="0"/>
        <w:rPr>
          <w:rFonts w:eastAsia="Calibri" w:cs="Times New Roman"/>
          <w:iCs w:val="0"/>
          <w:szCs w:val="22"/>
          <w:lang w:val="es-MX" w:eastAsia="en-US"/>
        </w:rPr>
      </w:pPr>
    </w:p>
    <w:p w14:paraId="3AE1C1B3" w14:textId="77777777" w:rsidR="006D1CBA" w:rsidRPr="006D1CBA" w:rsidRDefault="006D1CBA" w:rsidP="006D1CBA">
      <w:pPr>
        <w:numPr>
          <w:ilvl w:val="0"/>
          <w:numId w:val="7"/>
        </w:numPr>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Escuelas al Cien</w:t>
      </w:r>
    </w:p>
    <w:p w14:paraId="01D0B737" w14:textId="77777777" w:rsidR="006D1CBA" w:rsidRPr="006D1CBA" w:rsidRDefault="006D1CBA" w:rsidP="006D1CBA">
      <w:pPr>
        <w:jc w:val="both"/>
        <w:outlineLvl w:val="0"/>
        <w:rPr>
          <w:rFonts w:eastAsia="Calibri" w:cs="Times New Roman"/>
          <w:iCs w:val="0"/>
          <w:szCs w:val="22"/>
          <w:lang w:val="es-MX" w:eastAsia="es-MX"/>
        </w:rPr>
      </w:pPr>
    </w:p>
    <w:p w14:paraId="3F115B86" w14:textId="77777777" w:rsidR="006D1CBA" w:rsidRPr="006D1CBA" w:rsidRDefault="006D1CBA" w:rsidP="006D1CBA">
      <w:pPr>
        <w:numPr>
          <w:ilvl w:val="0"/>
          <w:numId w:val="7"/>
        </w:numPr>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FAM Potenciado</w:t>
      </w:r>
    </w:p>
    <w:p w14:paraId="17F0F369" w14:textId="77777777" w:rsidR="006D1CBA" w:rsidRPr="006D1CBA" w:rsidRDefault="006D1CBA" w:rsidP="006D1CBA">
      <w:pPr>
        <w:jc w:val="both"/>
        <w:outlineLvl w:val="0"/>
        <w:rPr>
          <w:rFonts w:eastAsia="Calibri" w:cs="Times New Roman"/>
          <w:iCs w:val="0"/>
          <w:szCs w:val="22"/>
          <w:lang w:val="es-MX" w:eastAsia="en-US"/>
        </w:rPr>
      </w:pPr>
    </w:p>
    <w:p w14:paraId="11B6B174"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Este rubro representa el 12.5 % respecto al total del pasivo circulante.</w:t>
      </w:r>
    </w:p>
    <w:p w14:paraId="28C26C5C" w14:textId="77777777" w:rsidR="006D1CBA" w:rsidRPr="006D1CBA" w:rsidRDefault="006D1CBA" w:rsidP="006D1CBA">
      <w:pPr>
        <w:jc w:val="both"/>
        <w:outlineLvl w:val="0"/>
        <w:rPr>
          <w:rFonts w:eastAsia="Calibri" w:cs="Times New Roman"/>
          <w:iCs w:val="0"/>
          <w:szCs w:val="22"/>
          <w:lang w:val="es-MX" w:eastAsia="en-US"/>
        </w:rPr>
      </w:pPr>
    </w:p>
    <w:p w14:paraId="45C3C842" w14:textId="77777777" w:rsidR="006D1CBA" w:rsidRPr="006D1CBA" w:rsidRDefault="006D1CBA" w:rsidP="006D1CBA">
      <w:pPr>
        <w:jc w:val="center"/>
        <w:outlineLvl w:val="0"/>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567D368D" wp14:editId="1CA2B430">
            <wp:extent cx="5400000" cy="1266332"/>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00" cy="1266332"/>
                    </a:xfrm>
                    <a:prstGeom prst="rect">
                      <a:avLst/>
                    </a:prstGeom>
                    <a:noFill/>
                    <a:ln>
                      <a:noFill/>
                    </a:ln>
                  </pic:spPr>
                </pic:pic>
              </a:graphicData>
            </a:graphic>
          </wp:inline>
        </w:drawing>
      </w:r>
    </w:p>
    <w:p w14:paraId="02E666B8"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5BFF530B"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6D21C1A9"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Otros pasivos a corto plazo</w:t>
      </w:r>
    </w:p>
    <w:p w14:paraId="430F5A1E"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3F011620" w14:textId="77777777" w:rsidR="006D1CBA" w:rsidRPr="006D1CBA" w:rsidRDefault="006D1CBA" w:rsidP="006D1CBA">
      <w:pPr>
        <w:jc w:val="both"/>
        <w:outlineLvl w:val="0"/>
        <w:rPr>
          <w:rFonts w:eastAsia="Calibri" w:cs="Times New Roman"/>
          <w:b/>
          <w:bCs/>
          <w:i/>
          <w:szCs w:val="22"/>
          <w:lang w:val="es-MX" w:eastAsia="en-US"/>
        </w:rPr>
      </w:pPr>
      <w:r w:rsidRPr="006D1CBA">
        <w:rPr>
          <w:rFonts w:eastAsia="Calibri" w:cs="Times New Roman"/>
          <w:iCs w:val="0"/>
          <w:szCs w:val="22"/>
          <w:lang w:val="es-MX" w:eastAsia="en-US"/>
        </w:rPr>
        <w:t>A $ 1,186,926,907 pesos, asciende este rubro, y corresponde a recursos federales otorgados en forma directa mediante distintas fuentes de financiamiento a las Entidades Paraestatales y Fideicomisos No Empresariales y No Financieros, de los cuales los fondos más sobresalientes son: el Fondo de Infraestructura Social para las Entidades (FISE), el Fondo de Aportaciones para el Fortalecimiento de las Entidades Federativas (FAFEF), Fondo de Aportaciones para la Seguridad Pública (FASP) y Fondo para el Fortalecimiento de las Instituciones de Seguridad Pública (</w:t>
      </w:r>
      <w:proofErr w:type="spellStart"/>
      <w:r w:rsidRPr="006D1CBA">
        <w:rPr>
          <w:rFonts w:eastAsia="Calibri" w:cs="Times New Roman"/>
          <w:iCs w:val="0"/>
          <w:szCs w:val="22"/>
          <w:lang w:val="es-MX" w:eastAsia="en-US"/>
        </w:rPr>
        <w:t>Fofisp</w:t>
      </w:r>
      <w:proofErr w:type="spellEnd"/>
      <w:r w:rsidRPr="006D1CBA">
        <w:rPr>
          <w:rFonts w:eastAsia="Calibri" w:cs="Times New Roman"/>
          <w:iCs w:val="0"/>
          <w:szCs w:val="22"/>
          <w:lang w:val="es-MX" w:eastAsia="en-US"/>
        </w:rPr>
        <w:t>); así como abonos bancarios por aclarar, además de los ingresos pendientes de clasificar, captados a través de los diversos servicios que otorgan los entes públicos. Al 30 de junio de 2024, este rubro representa el 23.7 % respecto al activo no circulante.</w:t>
      </w:r>
    </w:p>
    <w:p w14:paraId="27BAB2AD" w14:textId="77777777" w:rsidR="006D1CBA" w:rsidRPr="006D1CBA" w:rsidRDefault="006D1CBA" w:rsidP="006D1CBA">
      <w:pPr>
        <w:jc w:val="both"/>
        <w:outlineLvl w:val="0"/>
        <w:rPr>
          <w:rFonts w:eastAsia="Calibri" w:cs="Times New Roman"/>
          <w:iCs w:val="0"/>
          <w:szCs w:val="22"/>
          <w:lang w:val="es-MX" w:eastAsia="en-US"/>
        </w:rPr>
      </w:pPr>
    </w:p>
    <w:p w14:paraId="406563A6" w14:textId="77777777" w:rsidR="006D1CBA" w:rsidRPr="006D1CBA" w:rsidRDefault="006D1CBA" w:rsidP="006D1CBA">
      <w:pPr>
        <w:jc w:val="center"/>
        <w:outlineLvl w:val="0"/>
        <w:rPr>
          <w:rFonts w:eastAsia="Calibri" w:cs="Times New Roman"/>
          <w:iCs w:val="0"/>
          <w:noProof/>
          <w:szCs w:val="22"/>
          <w:lang w:val="es-MX" w:eastAsia="es-MX"/>
        </w:rPr>
      </w:pPr>
      <w:r w:rsidRPr="006D1CBA">
        <w:rPr>
          <w:rFonts w:eastAsia="Calibri" w:cs="Times New Roman"/>
          <w:iCs w:val="0"/>
          <w:szCs w:val="22"/>
          <w:lang w:val="es-MX" w:eastAsia="en-US"/>
        </w:rPr>
        <w:lastRenderedPageBreak/>
        <w:drawing>
          <wp:inline distT="0" distB="0" distL="0" distR="0" wp14:anchorId="28E75DAC" wp14:editId="4F0146DB">
            <wp:extent cx="5400000" cy="1139698"/>
            <wp:effectExtent l="0" t="0" r="0" b="381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00" cy="1139698"/>
                    </a:xfrm>
                    <a:prstGeom prst="rect">
                      <a:avLst/>
                    </a:prstGeom>
                    <a:noFill/>
                    <a:ln>
                      <a:noFill/>
                    </a:ln>
                  </pic:spPr>
                </pic:pic>
              </a:graphicData>
            </a:graphic>
          </wp:inline>
        </w:drawing>
      </w:r>
    </w:p>
    <w:p w14:paraId="765F1B21" w14:textId="77777777" w:rsidR="002979D0" w:rsidRDefault="002979D0" w:rsidP="006D1CBA">
      <w:pPr>
        <w:jc w:val="both"/>
        <w:rPr>
          <w:rFonts w:eastAsia="Calibri" w:cs="Times New Roman"/>
          <w:b/>
          <w:bCs/>
          <w:iCs w:val="0"/>
          <w:szCs w:val="22"/>
          <w:lang w:val="es-MX" w:eastAsia="en-US"/>
        </w:rPr>
      </w:pPr>
    </w:p>
    <w:p w14:paraId="65F553FF" w14:textId="77777777" w:rsidR="002979D0" w:rsidRDefault="002979D0" w:rsidP="006D1CBA">
      <w:pPr>
        <w:jc w:val="both"/>
        <w:rPr>
          <w:rFonts w:eastAsia="Calibri" w:cs="Times New Roman"/>
          <w:b/>
          <w:bCs/>
          <w:iCs w:val="0"/>
          <w:szCs w:val="22"/>
          <w:lang w:val="es-MX" w:eastAsia="en-US"/>
        </w:rPr>
      </w:pPr>
    </w:p>
    <w:p w14:paraId="0CACB81E" w14:textId="39A0B966"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No circulante</w:t>
      </w:r>
    </w:p>
    <w:p w14:paraId="591FFE16" w14:textId="77777777" w:rsidR="006D1CBA" w:rsidRPr="006D1CBA" w:rsidRDefault="006D1CBA" w:rsidP="006D1CBA">
      <w:pPr>
        <w:autoSpaceDE w:val="0"/>
        <w:autoSpaceDN w:val="0"/>
        <w:adjustRightInd w:val="0"/>
        <w:jc w:val="both"/>
        <w:rPr>
          <w:rFonts w:eastAsia="Calibri" w:cs="Times New Roman"/>
          <w:b/>
          <w:bCs/>
          <w:iCs w:val="0"/>
          <w:szCs w:val="22"/>
          <w:lang w:val="es-MX" w:eastAsia="en-US"/>
        </w:rPr>
      </w:pPr>
    </w:p>
    <w:p w14:paraId="3B636BC2" w14:textId="77777777" w:rsidR="006D1CBA" w:rsidRPr="006D1CBA" w:rsidRDefault="006D1CBA" w:rsidP="006D1CBA">
      <w:pPr>
        <w:autoSpaceDE w:val="0"/>
        <w:autoSpaceDN w:val="0"/>
        <w:adjustRightInd w:val="0"/>
        <w:jc w:val="center"/>
        <w:rPr>
          <w:rFonts w:eastAsia="Calibri" w:cs="Times New Roman"/>
          <w:b/>
          <w:bCs/>
          <w:iCs w:val="0"/>
          <w:szCs w:val="22"/>
          <w:lang w:val="es-MX" w:eastAsia="en-US"/>
        </w:rPr>
      </w:pPr>
      <w:r w:rsidRPr="006D1CBA">
        <w:rPr>
          <w:rFonts w:eastAsia="Calibri" w:cs="Times New Roman"/>
          <w:b/>
          <w:bCs/>
          <w:iCs w:val="0"/>
          <w:noProof/>
          <w:szCs w:val="22"/>
          <w:lang w:val="es-MX" w:eastAsia="en-US"/>
        </w:rPr>
        <w:drawing>
          <wp:inline distT="0" distB="0" distL="0" distR="0" wp14:anchorId="7F082250" wp14:editId="76194055">
            <wp:extent cx="5328285" cy="2237740"/>
            <wp:effectExtent l="0" t="0" r="571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8285" cy="2237740"/>
                    </a:xfrm>
                    <a:prstGeom prst="rect">
                      <a:avLst/>
                    </a:prstGeom>
                    <a:noFill/>
                  </pic:spPr>
                </pic:pic>
              </a:graphicData>
            </a:graphic>
          </wp:inline>
        </w:drawing>
      </w:r>
    </w:p>
    <w:p w14:paraId="7029BC2D"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0C250E3A" w14:textId="77777777" w:rsidR="006D1CBA" w:rsidRPr="006D1CBA" w:rsidRDefault="006D1CBA" w:rsidP="006D1CBA">
      <w:pPr>
        <w:numPr>
          <w:ilvl w:val="1"/>
          <w:numId w:val="0"/>
        </w:numPr>
        <w:jc w:val="both"/>
        <w:rPr>
          <w:rFonts w:eastAsia="Calibri" w:cs="Times New Roman"/>
          <w:b/>
          <w:i/>
          <w:iCs w:val="0"/>
          <w:szCs w:val="22"/>
          <w:u w:val="single"/>
          <w:lang w:val="es-MX" w:eastAsia="en-US"/>
        </w:rPr>
      </w:pPr>
    </w:p>
    <w:p w14:paraId="049F6E90"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Cuentas por pagar a largo plazo</w:t>
      </w:r>
    </w:p>
    <w:p w14:paraId="73613338"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72F6F249"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Este rubro del pasivo, refleja el registro de los compromisos contraídos a largo plazo, por la adquisición de bienes de consumo inventariables, por la contratación de servicios con proveedores, así como, estimaciones por las obligaciones contraídas con contratistas por obra pública en bienes de dominio público y propios, las cuales se encuentran pendientes de liquidar.</w:t>
      </w:r>
    </w:p>
    <w:p w14:paraId="06B9DFF8" w14:textId="77777777" w:rsidR="006D1CBA" w:rsidRPr="006D1CBA" w:rsidRDefault="006D1CBA" w:rsidP="006D1CBA">
      <w:pPr>
        <w:jc w:val="both"/>
        <w:outlineLvl w:val="0"/>
        <w:rPr>
          <w:rFonts w:eastAsia="Calibri" w:cs="Times New Roman"/>
          <w:iCs w:val="0"/>
          <w:szCs w:val="22"/>
          <w:lang w:val="es-MX" w:eastAsia="en-US"/>
        </w:rPr>
      </w:pPr>
    </w:p>
    <w:p w14:paraId="23D1F3E7" w14:textId="77777777" w:rsidR="006D1CBA" w:rsidRPr="006D1CBA" w:rsidRDefault="006D1CBA" w:rsidP="006D1CBA">
      <w:pPr>
        <w:jc w:val="both"/>
        <w:outlineLvl w:val="0"/>
        <w:rPr>
          <w:rFonts w:eastAsia="Calibri" w:cs="Times New Roman"/>
          <w:bCs/>
          <w:szCs w:val="22"/>
          <w:lang w:val="es-MX" w:eastAsia="en-US"/>
        </w:rPr>
      </w:pPr>
      <w:r w:rsidRPr="006D1CBA">
        <w:rPr>
          <w:rFonts w:eastAsia="Calibri" w:cs="Times New Roman"/>
          <w:iCs w:val="0"/>
          <w:szCs w:val="22"/>
          <w:lang w:val="es-MX" w:eastAsia="en-US"/>
        </w:rPr>
        <w:t xml:space="preserve">Al 30 de junio de 2024, este rubro asciende a $ 2,422.889,330 </w:t>
      </w:r>
      <w:r w:rsidRPr="006D1CBA">
        <w:rPr>
          <w:rFonts w:eastAsia="Calibri" w:cs="Times New Roman"/>
          <w:bCs/>
          <w:iCs w:val="0"/>
          <w:szCs w:val="22"/>
          <w:lang w:val="es-MX" w:eastAsia="en-US"/>
        </w:rPr>
        <w:t>pesos y representa el 49.3 % del pasivo no circulante.</w:t>
      </w:r>
    </w:p>
    <w:p w14:paraId="4886B158" w14:textId="77777777" w:rsidR="006D1CBA" w:rsidRPr="006D1CBA" w:rsidRDefault="006D1CBA" w:rsidP="006D1CBA">
      <w:pPr>
        <w:jc w:val="both"/>
        <w:outlineLvl w:val="0"/>
        <w:rPr>
          <w:rFonts w:eastAsia="Calibri" w:cs="Times New Roman"/>
          <w:bCs/>
          <w:szCs w:val="22"/>
          <w:lang w:val="es-MX" w:eastAsia="en-US"/>
        </w:rPr>
      </w:pPr>
    </w:p>
    <w:p w14:paraId="724E614C" w14:textId="77777777" w:rsidR="006D1CBA" w:rsidRPr="006D1CBA" w:rsidRDefault="006D1CBA" w:rsidP="006D1CBA">
      <w:pPr>
        <w:jc w:val="center"/>
        <w:outlineLvl w:val="0"/>
        <w:rPr>
          <w:rFonts w:eastAsia="Calibri" w:cs="Times New Roman"/>
          <w:bCs/>
          <w:szCs w:val="22"/>
          <w:lang w:val="es-MX" w:eastAsia="en-US"/>
        </w:rPr>
      </w:pPr>
      <w:r w:rsidRPr="006D1CBA">
        <w:rPr>
          <w:rFonts w:eastAsia="Calibri" w:cs="Times New Roman"/>
          <w:iCs w:val="0"/>
          <w:szCs w:val="22"/>
          <w:lang w:val="es-MX" w:eastAsia="en-US"/>
        </w:rPr>
        <w:drawing>
          <wp:inline distT="0" distB="0" distL="0" distR="0" wp14:anchorId="41C60506" wp14:editId="64BB92AA">
            <wp:extent cx="5400000" cy="1139698"/>
            <wp:effectExtent l="0" t="0" r="0" b="381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00" cy="1139698"/>
                    </a:xfrm>
                    <a:prstGeom prst="rect">
                      <a:avLst/>
                    </a:prstGeom>
                    <a:noFill/>
                    <a:ln>
                      <a:noFill/>
                    </a:ln>
                  </pic:spPr>
                </pic:pic>
              </a:graphicData>
            </a:graphic>
          </wp:inline>
        </w:drawing>
      </w:r>
    </w:p>
    <w:p w14:paraId="43F782C4"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0960713F"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53E541C5"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Pasivos diferidos a largo plazo</w:t>
      </w:r>
    </w:p>
    <w:p w14:paraId="1D191223"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65D98DF2"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 xml:space="preserve">Este rubro al 30 de junio de 2024 asciende a $ 2,289,819,738 </w:t>
      </w:r>
      <w:r w:rsidRPr="006D1CBA">
        <w:rPr>
          <w:rFonts w:eastAsia="Calibri" w:cs="Times New Roman"/>
          <w:bCs/>
          <w:iCs w:val="0"/>
          <w:szCs w:val="22"/>
          <w:lang w:val="es-MX" w:eastAsia="en-US"/>
        </w:rPr>
        <w:t xml:space="preserve">pesos y está integrado por el registro de prestaciones salariales como: sueldos y salarios, aguinaldo devengado no pagado, así como honorarios, cheques cancelados, además por las aportaciones patronales al Sistema de Ahorro para el Retiro (SAR), </w:t>
      </w:r>
      <w:r w:rsidRPr="006D1CBA">
        <w:rPr>
          <w:rFonts w:eastAsia="Calibri" w:cs="Times New Roman"/>
          <w:iCs w:val="0"/>
          <w:szCs w:val="22"/>
          <w:lang w:val="es-MX" w:eastAsia="en-US"/>
        </w:rPr>
        <w:t>al Instituto Mexicano del Seguro Social (IMSS), al Instituto del Fondo Nacional de la Vivienda para los Trabajadores (Infonavit), al Fondo de la Vivienda del Instituto de Seguridad y Servicios Sociales de los Trabajadores del Estado (</w:t>
      </w:r>
      <w:proofErr w:type="spellStart"/>
      <w:r w:rsidRPr="006D1CBA">
        <w:rPr>
          <w:rFonts w:eastAsia="Calibri" w:cs="Times New Roman"/>
          <w:iCs w:val="0"/>
          <w:szCs w:val="22"/>
          <w:lang w:val="es-MX" w:eastAsia="en-US"/>
        </w:rPr>
        <w:t>Fovissste</w:t>
      </w:r>
      <w:proofErr w:type="spellEnd"/>
      <w:r w:rsidRPr="006D1CBA">
        <w:rPr>
          <w:rFonts w:eastAsia="Calibri" w:cs="Times New Roman"/>
          <w:iCs w:val="0"/>
          <w:szCs w:val="22"/>
          <w:lang w:val="es-MX" w:eastAsia="en-US"/>
        </w:rPr>
        <w:t>), al Instituto de Seguridad y Servicios Sociales de los Trabajadores del Estado (ISSSTE) y 2 % del Impuesto Sobre Nóminas.</w:t>
      </w:r>
    </w:p>
    <w:p w14:paraId="662776D2" w14:textId="77777777" w:rsidR="006D1CBA" w:rsidRPr="006D1CBA" w:rsidRDefault="006D1CBA" w:rsidP="006D1CBA">
      <w:pPr>
        <w:jc w:val="both"/>
        <w:outlineLvl w:val="0"/>
        <w:rPr>
          <w:rFonts w:eastAsia="Calibri" w:cs="Times New Roman"/>
          <w:iCs w:val="0"/>
          <w:szCs w:val="22"/>
          <w:lang w:val="es-MX" w:eastAsia="en-US"/>
        </w:rPr>
      </w:pPr>
    </w:p>
    <w:p w14:paraId="13064470" w14:textId="77777777" w:rsidR="006D1CBA" w:rsidRPr="006D1CBA" w:rsidRDefault="006D1CBA" w:rsidP="006D1CBA">
      <w:pPr>
        <w:jc w:val="both"/>
        <w:outlineLvl w:val="0"/>
        <w:rPr>
          <w:rFonts w:eastAsia="Calibri" w:cs="Times New Roman"/>
          <w:bCs/>
          <w:szCs w:val="22"/>
          <w:lang w:val="es-MX" w:eastAsia="en-US"/>
        </w:rPr>
      </w:pPr>
      <w:r w:rsidRPr="006D1CBA">
        <w:rPr>
          <w:rFonts w:eastAsia="Calibri" w:cs="Times New Roman"/>
          <w:bCs/>
          <w:iCs w:val="0"/>
          <w:szCs w:val="22"/>
          <w:lang w:val="es-MX" w:eastAsia="en-US"/>
        </w:rPr>
        <w:t xml:space="preserve">Se incluyen en este rubro el registro de las retenciones y contribuciones a terceros, 2% del impuesto sobre nóminas a prestadores de servicios, IVA e ISR por honorarios y/o arrendamiento de inmuebles, ISSS, crédito Fonacot, cuota </w:t>
      </w:r>
      <w:r w:rsidRPr="006D1CBA">
        <w:rPr>
          <w:rFonts w:eastAsia="Calibri" w:cs="Times New Roman"/>
          <w:bCs/>
          <w:iCs w:val="0"/>
          <w:szCs w:val="22"/>
          <w:lang w:val="es-MX" w:eastAsia="en-US"/>
        </w:rPr>
        <w:lastRenderedPageBreak/>
        <w:t xml:space="preserve">Infonavit, cuota IMSS, cuota ISSTECH, </w:t>
      </w:r>
      <w:r w:rsidRPr="006D1CBA">
        <w:rPr>
          <w:rFonts w:eastAsia="Calibri" w:cs="Times New Roman"/>
          <w:iCs w:val="0"/>
          <w:szCs w:val="22"/>
          <w:lang w:val="es-MX" w:eastAsia="en-US"/>
        </w:rPr>
        <w:t>c</w:t>
      </w:r>
      <w:r w:rsidRPr="006D1CBA">
        <w:rPr>
          <w:rFonts w:eastAsia="Calibri" w:cs="Times New Roman"/>
          <w:bCs/>
          <w:iCs w:val="0"/>
          <w:szCs w:val="22"/>
          <w:lang w:val="es-MX" w:eastAsia="en-US"/>
        </w:rPr>
        <w:t xml:space="preserve">aja de ahorro, embargo por juicio mercantil, viáticos, disciplinarios, préstamos con financieras, aportaciones al fondo de ahorro, seguro de vida, cuota sindical, recuperación de préstamos personales, pensión alimenticia y gastos funerarios. </w:t>
      </w:r>
    </w:p>
    <w:p w14:paraId="727C309C" w14:textId="77777777" w:rsidR="006D1CBA" w:rsidRPr="006D1CBA" w:rsidRDefault="006D1CBA" w:rsidP="006D1CBA">
      <w:pPr>
        <w:jc w:val="both"/>
        <w:outlineLvl w:val="0"/>
        <w:rPr>
          <w:rFonts w:eastAsia="Calibri" w:cs="Times New Roman"/>
          <w:bCs/>
          <w:szCs w:val="22"/>
          <w:lang w:val="es-MX" w:eastAsia="en-US"/>
        </w:rPr>
      </w:pPr>
    </w:p>
    <w:p w14:paraId="2161CC28"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 xml:space="preserve">Así mismo, se compone de </w:t>
      </w:r>
      <w:r w:rsidRPr="006D1CBA">
        <w:rPr>
          <w:rFonts w:eastAsia="Calibri" w:cs="Times New Roman"/>
          <w:iCs w:val="0"/>
          <w:szCs w:val="22"/>
          <w:lang w:val="es-MX" w:eastAsia="en-US"/>
        </w:rPr>
        <w:t>la recuperación de préstamos para fraccionamientos.</w:t>
      </w:r>
      <w:r w:rsidRPr="006D1CBA">
        <w:rPr>
          <w:rFonts w:eastAsia="Calibri" w:cs="Times New Roman"/>
          <w:bCs/>
          <w:iCs w:val="0"/>
          <w:szCs w:val="22"/>
          <w:lang w:val="es-MX" w:eastAsia="en-US"/>
        </w:rPr>
        <w:t xml:space="preserve"> Así como préstamos y anticipos de ministración otorgados por la Tesorería, traspaso de recursos entre cuentas bancarias, recursos del Fondo de Aportaciones para los Servicios de Salud (FASSA) por concepto de servicios personales y rendimientos, subsidios a entes públicos, recursos para programas educativos y de salud, rendimientos bancarios, reintegros de recursos, ayudas sociales a actividades científicas o académicas, ayudas sociales a personas, cheques en circulación no cobrados en su oportunidad, publicaciones oficiales, abonos bancarios por aclarar. </w:t>
      </w:r>
    </w:p>
    <w:p w14:paraId="3FE1DB32" w14:textId="77777777" w:rsidR="006D1CBA" w:rsidRPr="006D1CBA" w:rsidRDefault="006D1CBA" w:rsidP="006D1CBA">
      <w:pPr>
        <w:jc w:val="both"/>
        <w:outlineLvl w:val="0"/>
        <w:rPr>
          <w:rFonts w:eastAsia="Calibri" w:cs="Times New Roman"/>
          <w:bCs/>
          <w:iCs w:val="0"/>
          <w:szCs w:val="22"/>
          <w:lang w:val="es-MX" w:eastAsia="en-US"/>
        </w:rPr>
      </w:pPr>
    </w:p>
    <w:p w14:paraId="56A2DDA3" w14:textId="77777777" w:rsidR="006D1CBA" w:rsidRPr="006D1CBA" w:rsidRDefault="006D1CBA" w:rsidP="006D1CBA">
      <w:pPr>
        <w:jc w:val="both"/>
        <w:outlineLvl w:val="0"/>
        <w:rPr>
          <w:rFonts w:eastAsia="Calibri" w:cs="Times New Roman"/>
          <w:bCs/>
          <w:szCs w:val="22"/>
          <w:lang w:val="es-MX" w:eastAsia="en-US"/>
        </w:rPr>
      </w:pPr>
      <w:r w:rsidRPr="006D1CBA">
        <w:rPr>
          <w:rFonts w:eastAsia="Calibri" w:cs="Times New Roman"/>
          <w:bCs/>
          <w:iCs w:val="0"/>
          <w:szCs w:val="22"/>
          <w:lang w:val="es-MX" w:eastAsia="en-US"/>
        </w:rPr>
        <w:t>Además, por las retenciones efectuadas a los contratistas por obra pública clasificados de la siguiente manera:</w:t>
      </w:r>
    </w:p>
    <w:p w14:paraId="411D9333" w14:textId="77777777" w:rsidR="006D1CBA" w:rsidRPr="006D1CBA" w:rsidRDefault="006D1CBA" w:rsidP="006D1CBA">
      <w:pPr>
        <w:jc w:val="both"/>
        <w:outlineLvl w:val="0"/>
        <w:rPr>
          <w:rFonts w:eastAsia="Calibri" w:cs="Times New Roman"/>
          <w:iCs w:val="0"/>
          <w:szCs w:val="22"/>
          <w:lang w:val="es-MX" w:eastAsia="en-US"/>
        </w:rPr>
      </w:pPr>
    </w:p>
    <w:p w14:paraId="26A4F554"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1 % de aportación al Estado para obras de beneficio social.</w:t>
      </w:r>
    </w:p>
    <w:p w14:paraId="21645D47"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5 al millar de inspección y vigilancia</w:t>
      </w:r>
    </w:p>
    <w:p w14:paraId="225B2464"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3 al millar al Instituto de Capacitación de la Industria de la Construcción (ICIC)</w:t>
      </w:r>
    </w:p>
    <w:p w14:paraId="1D8FE1A1"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Traspaso de los rendimientos del Régimen Estatal de Protección Social en Salud (REPSS) al Instituto de Salud</w:t>
      </w:r>
    </w:p>
    <w:p w14:paraId="33CF940A" w14:textId="77777777" w:rsidR="006D1CBA" w:rsidRPr="006D1CBA" w:rsidRDefault="006D1CBA" w:rsidP="006D1CBA">
      <w:pPr>
        <w:jc w:val="both"/>
        <w:outlineLvl w:val="0"/>
        <w:rPr>
          <w:rFonts w:eastAsia="Calibri" w:cs="Times New Roman"/>
          <w:iCs w:val="0"/>
          <w:szCs w:val="22"/>
          <w:lang w:val="es-MX" w:eastAsia="en-US"/>
        </w:rPr>
      </w:pPr>
    </w:p>
    <w:p w14:paraId="3D6F001A"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Este rubro representa el 46.6 % respecto al total del pasivo no circulante.</w:t>
      </w:r>
    </w:p>
    <w:p w14:paraId="6663AF53" w14:textId="77777777" w:rsidR="006D1CBA" w:rsidRPr="006D1CBA" w:rsidRDefault="006D1CBA" w:rsidP="006D1CBA">
      <w:pPr>
        <w:jc w:val="both"/>
        <w:outlineLvl w:val="0"/>
        <w:rPr>
          <w:rFonts w:eastAsia="Calibri" w:cs="Times New Roman"/>
          <w:iCs w:val="0"/>
          <w:szCs w:val="22"/>
          <w:lang w:val="es-MX" w:eastAsia="en-US"/>
        </w:rPr>
      </w:pPr>
    </w:p>
    <w:p w14:paraId="1949E0BE" w14:textId="77777777" w:rsidR="006D1CBA" w:rsidRPr="006D1CBA" w:rsidRDefault="006D1CBA" w:rsidP="006D1CBA">
      <w:pPr>
        <w:jc w:val="center"/>
        <w:outlineLvl w:val="0"/>
        <w:rPr>
          <w:rFonts w:eastAsia="Calibri" w:cs="Times New Roman"/>
          <w:bCs/>
          <w:szCs w:val="22"/>
          <w:lang w:val="es-MX" w:eastAsia="en-US"/>
        </w:rPr>
      </w:pPr>
      <w:r w:rsidRPr="006D1CBA">
        <w:rPr>
          <w:rFonts w:eastAsia="Calibri" w:cs="Times New Roman"/>
          <w:iCs w:val="0"/>
          <w:szCs w:val="22"/>
          <w:lang w:val="es-MX" w:eastAsia="en-US"/>
        </w:rPr>
        <w:drawing>
          <wp:inline distT="0" distB="0" distL="0" distR="0" wp14:anchorId="0AF67BA6" wp14:editId="2CF23465">
            <wp:extent cx="5400000" cy="958794"/>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00" cy="958794"/>
                    </a:xfrm>
                    <a:prstGeom prst="rect">
                      <a:avLst/>
                    </a:prstGeom>
                    <a:noFill/>
                    <a:ln>
                      <a:noFill/>
                    </a:ln>
                  </pic:spPr>
                </pic:pic>
              </a:graphicData>
            </a:graphic>
          </wp:inline>
        </w:drawing>
      </w:r>
    </w:p>
    <w:p w14:paraId="423F877B"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1A3D44D7"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3B86A6B3"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Fondos y bienes de terceros en garantía y/o administración a largo plazo</w:t>
      </w:r>
    </w:p>
    <w:p w14:paraId="37B5FC84"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5BA52579"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A $ 194,037,</w:t>
      </w:r>
      <w:proofErr w:type="gramStart"/>
      <w:r w:rsidRPr="006D1CBA">
        <w:rPr>
          <w:rFonts w:eastAsia="Calibri" w:cs="Times New Roman"/>
          <w:iCs w:val="0"/>
          <w:szCs w:val="22"/>
          <w:lang w:val="es-MX" w:eastAsia="en-US"/>
        </w:rPr>
        <w:t>265 pesos asciende</w:t>
      </w:r>
      <w:proofErr w:type="gramEnd"/>
      <w:r w:rsidRPr="006D1CBA">
        <w:rPr>
          <w:rFonts w:eastAsia="Calibri" w:cs="Times New Roman"/>
          <w:iCs w:val="0"/>
          <w:szCs w:val="22"/>
          <w:lang w:val="es-MX" w:eastAsia="en-US"/>
        </w:rPr>
        <w:t xml:space="preserve"> este rubro al 30 de junio del ejercicio 2024 y corresponde a saldos de obligaciones con recursos ajenos para cubrir pagos de servicios personales y gastos de operación.</w:t>
      </w:r>
    </w:p>
    <w:p w14:paraId="699B84C5" w14:textId="77777777" w:rsidR="006D1CBA" w:rsidRPr="006D1CBA" w:rsidRDefault="006D1CBA" w:rsidP="006D1CBA">
      <w:pPr>
        <w:jc w:val="both"/>
        <w:outlineLvl w:val="0"/>
        <w:rPr>
          <w:rFonts w:eastAsia="Calibri" w:cs="Times New Roman"/>
          <w:iCs w:val="0"/>
          <w:szCs w:val="22"/>
          <w:lang w:val="es-MX" w:eastAsia="en-US"/>
        </w:rPr>
      </w:pPr>
    </w:p>
    <w:p w14:paraId="0E417666"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También, se incluyen los rendimientos de los programas:</w:t>
      </w:r>
    </w:p>
    <w:p w14:paraId="0067F210" w14:textId="77777777" w:rsidR="006D1CBA" w:rsidRPr="006D1CBA" w:rsidRDefault="006D1CBA" w:rsidP="006D1CBA">
      <w:pPr>
        <w:jc w:val="both"/>
        <w:outlineLvl w:val="0"/>
        <w:rPr>
          <w:rFonts w:eastAsia="Calibri" w:cs="Times New Roman"/>
          <w:iCs w:val="0"/>
          <w:szCs w:val="22"/>
          <w:lang w:val="es-MX" w:eastAsia="en-US"/>
        </w:rPr>
      </w:pPr>
    </w:p>
    <w:p w14:paraId="2EBDFC79" w14:textId="77777777" w:rsidR="006D1CBA" w:rsidRPr="006D1CBA" w:rsidRDefault="006D1CBA" w:rsidP="006D1CBA">
      <w:pPr>
        <w:numPr>
          <w:ilvl w:val="0"/>
          <w:numId w:val="7"/>
        </w:numPr>
        <w:spacing w:after="120"/>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Programa del Mejoramiento del Profesorado (</w:t>
      </w:r>
      <w:proofErr w:type="spellStart"/>
      <w:r w:rsidRPr="006D1CBA">
        <w:rPr>
          <w:rFonts w:eastAsia="Calibri" w:cs="Times New Roman"/>
          <w:iCs w:val="0"/>
          <w:szCs w:val="22"/>
          <w:lang w:val="es-MX" w:eastAsia="es-MX"/>
        </w:rPr>
        <w:t>Promep</w:t>
      </w:r>
      <w:proofErr w:type="spellEnd"/>
      <w:r w:rsidRPr="006D1CBA">
        <w:rPr>
          <w:rFonts w:eastAsia="Calibri" w:cs="Times New Roman"/>
          <w:iCs w:val="0"/>
          <w:szCs w:val="22"/>
          <w:lang w:val="es-MX" w:eastAsia="es-MX"/>
        </w:rPr>
        <w:t>)</w:t>
      </w:r>
    </w:p>
    <w:p w14:paraId="498B6B53" w14:textId="77777777" w:rsidR="006D1CBA" w:rsidRPr="006D1CBA" w:rsidRDefault="006D1CBA" w:rsidP="006D1CBA">
      <w:pPr>
        <w:numPr>
          <w:ilvl w:val="0"/>
          <w:numId w:val="7"/>
        </w:numPr>
        <w:ind w:left="357" w:hanging="357"/>
        <w:jc w:val="both"/>
        <w:outlineLvl w:val="0"/>
        <w:rPr>
          <w:rFonts w:eastAsia="Calibri" w:cs="Times New Roman"/>
          <w:iCs w:val="0"/>
          <w:szCs w:val="22"/>
          <w:lang w:val="es-MX" w:eastAsia="es-MX"/>
        </w:rPr>
      </w:pPr>
      <w:r w:rsidRPr="006D1CBA">
        <w:rPr>
          <w:rFonts w:eastAsia="Calibri" w:cs="Times New Roman"/>
          <w:iCs w:val="0"/>
          <w:szCs w:val="22"/>
          <w:lang w:val="es-MX" w:eastAsia="es-MX"/>
        </w:rPr>
        <w:t>Programa de Fortalecimiento de la Calidad en Instituciones Educativas (PFCE)</w:t>
      </w:r>
    </w:p>
    <w:p w14:paraId="04A12E51" w14:textId="77777777" w:rsidR="006D1CBA" w:rsidRPr="006D1CBA" w:rsidRDefault="006D1CBA" w:rsidP="006D1CBA">
      <w:pPr>
        <w:jc w:val="both"/>
        <w:outlineLvl w:val="0"/>
        <w:rPr>
          <w:rFonts w:eastAsia="Calibri" w:cs="Times New Roman"/>
          <w:iCs w:val="0"/>
          <w:szCs w:val="22"/>
          <w:lang w:val="es-MX" w:eastAsia="en-US"/>
        </w:rPr>
      </w:pPr>
    </w:p>
    <w:p w14:paraId="367A80C4"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Este rubro representa el 4 % del pasivo no circulante.</w:t>
      </w:r>
    </w:p>
    <w:p w14:paraId="14AAA08B" w14:textId="77777777" w:rsidR="006D1CBA" w:rsidRPr="006D1CBA" w:rsidRDefault="006D1CBA" w:rsidP="006D1CBA">
      <w:pPr>
        <w:tabs>
          <w:tab w:val="left" w:pos="1418"/>
        </w:tabs>
        <w:autoSpaceDE w:val="0"/>
        <w:autoSpaceDN w:val="0"/>
        <w:adjustRightInd w:val="0"/>
        <w:jc w:val="both"/>
        <w:rPr>
          <w:rFonts w:eastAsia="Calibri" w:cs="Times New Roman"/>
          <w:iCs w:val="0"/>
          <w:szCs w:val="22"/>
          <w:lang w:val="es-MX" w:eastAsia="en-US"/>
        </w:rPr>
      </w:pPr>
    </w:p>
    <w:p w14:paraId="70DDB6F4" w14:textId="77777777" w:rsidR="006D1CBA" w:rsidRPr="006D1CBA" w:rsidRDefault="006D1CBA" w:rsidP="006D1CBA">
      <w:pPr>
        <w:jc w:val="center"/>
        <w:outlineLvl w:val="0"/>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62D0DD28" wp14:editId="01C138E7">
            <wp:extent cx="5400000" cy="1266332"/>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00" cy="1266332"/>
                    </a:xfrm>
                    <a:prstGeom prst="rect">
                      <a:avLst/>
                    </a:prstGeom>
                    <a:noFill/>
                    <a:ln>
                      <a:noFill/>
                    </a:ln>
                  </pic:spPr>
                </pic:pic>
              </a:graphicData>
            </a:graphic>
          </wp:inline>
        </w:drawing>
      </w:r>
    </w:p>
    <w:p w14:paraId="04C0B345" w14:textId="77777777" w:rsidR="006D1CBA" w:rsidRPr="006D1CBA" w:rsidRDefault="006D1CBA" w:rsidP="006D1CBA">
      <w:pPr>
        <w:jc w:val="center"/>
        <w:outlineLvl w:val="0"/>
        <w:rPr>
          <w:rFonts w:eastAsia="Calibri" w:cs="Times New Roman"/>
          <w:iCs w:val="0"/>
          <w:szCs w:val="22"/>
          <w:lang w:val="es-MX" w:eastAsia="en-US"/>
        </w:rPr>
      </w:pPr>
    </w:p>
    <w:p w14:paraId="6FA9FEA8" w14:textId="77777777" w:rsidR="006D1CBA" w:rsidRPr="006D1CBA" w:rsidRDefault="006D1CBA" w:rsidP="006D1CBA">
      <w:pPr>
        <w:jc w:val="center"/>
        <w:outlineLvl w:val="0"/>
        <w:rPr>
          <w:rFonts w:eastAsia="Calibri" w:cs="Times New Roman"/>
          <w:iCs w:val="0"/>
          <w:szCs w:val="22"/>
          <w:lang w:val="es-MX" w:eastAsia="en-US"/>
        </w:rPr>
      </w:pPr>
    </w:p>
    <w:p w14:paraId="679B73C2" w14:textId="77777777" w:rsidR="006D1CBA" w:rsidRPr="006D1CBA" w:rsidRDefault="006D1CBA" w:rsidP="006D1CBA">
      <w:pPr>
        <w:numPr>
          <w:ilvl w:val="1"/>
          <w:numId w:val="0"/>
        </w:numPr>
        <w:jc w:val="both"/>
        <w:rPr>
          <w:rFonts w:eastAsia="Calibri" w:cs="Times New Roman"/>
          <w:b/>
          <w:i/>
          <w:iCs w:val="0"/>
          <w:szCs w:val="22"/>
          <w:u w:val="single"/>
          <w:lang w:val="es-MX" w:eastAsia="en-US"/>
        </w:rPr>
      </w:pPr>
      <w:r w:rsidRPr="006D1CBA">
        <w:rPr>
          <w:rFonts w:eastAsia="Calibri" w:cs="Times New Roman"/>
          <w:b/>
          <w:i/>
          <w:iCs w:val="0"/>
          <w:szCs w:val="22"/>
          <w:u w:val="single"/>
          <w:lang w:val="es-MX" w:eastAsia="en-US"/>
        </w:rPr>
        <w:t>Provisiones a largo plazo</w:t>
      </w:r>
    </w:p>
    <w:p w14:paraId="51B4B5B6" w14:textId="77777777" w:rsidR="006D1CBA" w:rsidRPr="006D1CBA" w:rsidRDefault="006D1CBA" w:rsidP="006D1CBA">
      <w:pPr>
        <w:tabs>
          <w:tab w:val="left" w:pos="1418"/>
        </w:tabs>
        <w:autoSpaceDE w:val="0"/>
        <w:autoSpaceDN w:val="0"/>
        <w:adjustRightInd w:val="0"/>
        <w:jc w:val="both"/>
        <w:rPr>
          <w:rFonts w:eastAsia="Calibri" w:cs="Times New Roman"/>
          <w:b/>
          <w:i/>
          <w:iCs w:val="0"/>
          <w:szCs w:val="22"/>
          <w:lang w:val="es-MX" w:eastAsia="en-US"/>
        </w:rPr>
      </w:pPr>
    </w:p>
    <w:p w14:paraId="1CABF7F6" w14:textId="77777777" w:rsidR="006D1CBA" w:rsidRPr="006D1CBA" w:rsidRDefault="006D1CBA" w:rsidP="006D1CBA">
      <w:pPr>
        <w:autoSpaceDE w:val="0"/>
        <w:autoSpaceDN w:val="0"/>
        <w:adjustRightInd w:val="0"/>
        <w:jc w:val="both"/>
        <w:rPr>
          <w:rFonts w:eastAsia="Calibri" w:cs="Times New Roman"/>
          <w:bCs/>
          <w:color w:val="000000"/>
          <w:szCs w:val="22"/>
          <w:lang w:val="es-MX" w:eastAsia="es-MX"/>
        </w:rPr>
      </w:pPr>
      <w:r w:rsidRPr="006D1CBA">
        <w:rPr>
          <w:rFonts w:eastAsia="Calibri" w:cs="Times New Roman"/>
          <w:bCs/>
          <w:iCs w:val="0"/>
          <w:color w:val="000000"/>
          <w:szCs w:val="22"/>
          <w:lang w:val="es-MX" w:eastAsia="es-MX"/>
        </w:rPr>
        <w:t xml:space="preserve">Este rubro asciende a $ 3,405,941 </w:t>
      </w:r>
      <w:r w:rsidRPr="006D1CBA">
        <w:rPr>
          <w:rFonts w:eastAsia="Calibri" w:cs="Times New Roman"/>
          <w:iCs w:val="0"/>
          <w:color w:val="000000"/>
          <w:szCs w:val="22"/>
          <w:lang w:val="es-MX" w:eastAsia="es-MX"/>
        </w:rPr>
        <w:t xml:space="preserve">pesos, y se integra por la provisión para </w:t>
      </w:r>
      <w:r w:rsidRPr="006D1CBA">
        <w:rPr>
          <w:rFonts w:eastAsia="Calibri" w:cs="Times New Roman"/>
          <w:bCs/>
          <w:iCs w:val="0"/>
          <w:color w:val="000000"/>
          <w:szCs w:val="22"/>
          <w:lang w:val="es-MX" w:eastAsia="es-MX"/>
        </w:rPr>
        <w:t xml:space="preserve">demandas y juicios a largo plazo para hacer frente a casos fortuitos, que resulten de la operatividad de los entes públicos que conforman las Entidades Paraestatales y Fideicomisos No Empresariales y No Financieros. </w:t>
      </w:r>
    </w:p>
    <w:p w14:paraId="1C190AAC" w14:textId="77777777" w:rsidR="006D1CBA" w:rsidRPr="006D1CBA" w:rsidRDefault="006D1CBA" w:rsidP="006D1CBA">
      <w:pPr>
        <w:autoSpaceDE w:val="0"/>
        <w:autoSpaceDN w:val="0"/>
        <w:adjustRightInd w:val="0"/>
        <w:jc w:val="both"/>
        <w:rPr>
          <w:rFonts w:eastAsia="Calibri" w:cs="Times New Roman"/>
          <w:bCs/>
          <w:iCs w:val="0"/>
          <w:color w:val="000000"/>
          <w:szCs w:val="22"/>
          <w:lang w:val="es-MX" w:eastAsia="es-MX"/>
        </w:rPr>
      </w:pPr>
      <w:r w:rsidRPr="006D1CBA">
        <w:rPr>
          <w:rFonts w:eastAsia="Calibri" w:cs="Times New Roman"/>
          <w:bCs/>
          <w:iCs w:val="0"/>
          <w:color w:val="000000"/>
          <w:szCs w:val="22"/>
          <w:lang w:val="es-MX" w:eastAsia="es-MX"/>
        </w:rPr>
        <w:lastRenderedPageBreak/>
        <w:t>Al periodo que se informa este rubro representa el 0.1 % del total del pasivo no circulante.</w:t>
      </w:r>
    </w:p>
    <w:p w14:paraId="07BB36A3" w14:textId="77777777" w:rsidR="006D1CBA" w:rsidRPr="006D1CBA" w:rsidRDefault="006D1CBA" w:rsidP="006D1CBA">
      <w:pPr>
        <w:autoSpaceDE w:val="0"/>
        <w:autoSpaceDN w:val="0"/>
        <w:adjustRightInd w:val="0"/>
        <w:jc w:val="both"/>
        <w:rPr>
          <w:rFonts w:eastAsia="Calibri" w:cs="Times New Roman"/>
          <w:iCs w:val="0"/>
          <w:color w:val="000000"/>
          <w:szCs w:val="22"/>
          <w:lang w:val="es-MX" w:eastAsia="en-US"/>
        </w:rPr>
      </w:pPr>
    </w:p>
    <w:p w14:paraId="342BD000" w14:textId="77777777" w:rsidR="006D1CBA" w:rsidRPr="006D1CBA" w:rsidRDefault="006D1CBA" w:rsidP="006D1CBA">
      <w:pPr>
        <w:jc w:val="center"/>
        <w:outlineLvl w:val="0"/>
        <w:rPr>
          <w:rFonts w:eastAsia="Calibri" w:cs="Times New Roman"/>
          <w:bCs/>
          <w:szCs w:val="22"/>
          <w:lang w:val="es-MX" w:eastAsia="en-US"/>
        </w:rPr>
      </w:pPr>
      <w:r w:rsidRPr="006D1CBA">
        <w:rPr>
          <w:rFonts w:eastAsia="Calibri" w:cs="Times New Roman"/>
          <w:iCs w:val="0"/>
          <w:szCs w:val="22"/>
          <w:lang w:val="es-MX" w:eastAsia="en-US"/>
        </w:rPr>
        <w:drawing>
          <wp:inline distT="0" distB="0" distL="0" distR="0" wp14:anchorId="6CB0A293" wp14:editId="4F59C522">
            <wp:extent cx="5400000" cy="958794"/>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0" cy="958794"/>
                    </a:xfrm>
                    <a:prstGeom prst="rect">
                      <a:avLst/>
                    </a:prstGeom>
                    <a:noFill/>
                    <a:ln>
                      <a:noFill/>
                    </a:ln>
                  </pic:spPr>
                </pic:pic>
              </a:graphicData>
            </a:graphic>
          </wp:inline>
        </w:drawing>
      </w:r>
    </w:p>
    <w:p w14:paraId="0FD7601A" w14:textId="77777777" w:rsidR="006D1CBA" w:rsidRPr="006D1CBA" w:rsidRDefault="006D1CBA" w:rsidP="006D1CBA">
      <w:pPr>
        <w:jc w:val="both"/>
        <w:outlineLvl w:val="0"/>
        <w:rPr>
          <w:rFonts w:eastAsia="Calibri" w:cs="Times New Roman"/>
          <w:bCs/>
          <w:szCs w:val="22"/>
          <w:lang w:val="es-MX" w:eastAsia="en-US"/>
        </w:rPr>
      </w:pPr>
    </w:p>
    <w:p w14:paraId="548E7F97" w14:textId="77777777" w:rsidR="006D1CBA" w:rsidRPr="006D1CBA" w:rsidRDefault="006D1CBA" w:rsidP="006D1CBA">
      <w:pPr>
        <w:jc w:val="both"/>
        <w:rPr>
          <w:rFonts w:eastAsia="Calibri" w:cs="Times New Roman"/>
          <w:iCs w:val="0"/>
          <w:szCs w:val="22"/>
          <w:lang w:val="es-MX" w:eastAsia="en-US"/>
        </w:rPr>
      </w:pPr>
    </w:p>
    <w:p w14:paraId="79C19BE5" w14:textId="77777777" w:rsidR="006D1CBA" w:rsidRPr="006D1CBA" w:rsidRDefault="006D1CBA" w:rsidP="006D1CBA">
      <w:pPr>
        <w:jc w:val="both"/>
        <w:rPr>
          <w:rFonts w:eastAsia="Calibri" w:cs="Times New Roman"/>
          <w:b/>
          <w:bCs/>
          <w:caps/>
          <w:szCs w:val="22"/>
          <w:lang w:val="es-MX" w:eastAsia="en-US"/>
        </w:rPr>
      </w:pPr>
      <w:r w:rsidRPr="006D1CBA">
        <w:rPr>
          <w:rFonts w:eastAsia="Calibri" w:cs="Times New Roman"/>
          <w:b/>
          <w:bCs/>
          <w:iCs w:val="0"/>
          <w:szCs w:val="22"/>
          <w:lang w:val="es-MX" w:eastAsia="en-US"/>
        </w:rPr>
        <w:t>Notas al estado de variación en la hacienda pública</w:t>
      </w:r>
    </w:p>
    <w:p w14:paraId="13868A71" w14:textId="77777777" w:rsidR="006D1CBA" w:rsidRPr="006D1CBA" w:rsidRDefault="006D1CBA" w:rsidP="006D1CBA">
      <w:pPr>
        <w:jc w:val="both"/>
        <w:outlineLvl w:val="0"/>
        <w:rPr>
          <w:rFonts w:eastAsia="Calibri" w:cs="Times New Roman"/>
          <w:iCs w:val="0"/>
          <w:szCs w:val="22"/>
          <w:lang w:val="es-MX" w:eastAsia="en-US"/>
        </w:rPr>
      </w:pPr>
    </w:p>
    <w:p w14:paraId="2B79DA68"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La Hacienda Pública representa el importe de los bienes y derechos que son propiedad de las entidades, dicho importe es modificado principalmente por el resultado positivo obtenido al periodo que se informa fue de $ 8,666,639,581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y donaciones recibidas; a la fecha, la Hacienda Pública refleja un saldo de $ 45,398,388,368 pesos.</w:t>
      </w:r>
    </w:p>
    <w:p w14:paraId="7CBC9AF3" w14:textId="77777777" w:rsidR="006D1CBA" w:rsidRPr="006D1CBA" w:rsidRDefault="006D1CBA" w:rsidP="006D1CBA">
      <w:pPr>
        <w:jc w:val="both"/>
        <w:outlineLvl w:val="0"/>
        <w:rPr>
          <w:rFonts w:eastAsia="Calibri" w:cs="Times New Roman"/>
          <w:iCs w:val="0"/>
          <w:szCs w:val="22"/>
          <w:lang w:val="es-MX" w:eastAsia="en-US"/>
        </w:rPr>
      </w:pPr>
    </w:p>
    <w:p w14:paraId="6A914DF1"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Así también, es modificado por el aumento o disminución al patrimonio, derivado del registro de los incrementos o decrementos realizados al patrimonio de las entidades. A la fecha que se informa la modificación neta presenta un incremento al patrimonio de $ 6,933,141,165 pesos.</w:t>
      </w:r>
    </w:p>
    <w:p w14:paraId="63680585" w14:textId="77777777" w:rsidR="006D1CBA" w:rsidRPr="006D1CBA" w:rsidRDefault="006D1CBA" w:rsidP="006D1CBA">
      <w:pPr>
        <w:jc w:val="both"/>
        <w:outlineLvl w:val="0"/>
        <w:rPr>
          <w:rFonts w:eastAsia="Calibri" w:cs="Times New Roman"/>
          <w:iCs w:val="0"/>
          <w:szCs w:val="22"/>
          <w:lang w:val="es-MX" w:eastAsia="en-US"/>
        </w:rPr>
      </w:pPr>
    </w:p>
    <w:p w14:paraId="28A89988"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Notas al estado de flujos de efectivo</w:t>
      </w:r>
    </w:p>
    <w:p w14:paraId="6716C48E" w14:textId="77777777" w:rsidR="006D1CBA" w:rsidRPr="006D1CBA" w:rsidRDefault="006D1CBA" w:rsidP="006D1CBA">
      <w:pPr>
        <w:jc w:val="both"/>
        <w:outlineLvl w:val="0"/>
        <w:rPr>
          <w:rFonts w:eastAsia="Calibri" w:cs="Times New Roman"/>
          <w:iCs w:val="0"/>
          <w:szCs w:val="22"/>
          <w:lang w:val="es-MX" w:eastAsia="en-US"/>
        </w:rPr>
      </w:pPr>
    </w:p>
    <w:p w14:paraId="6F7F66BB" w14:textId="77777777" w:rsidR="006D1CBA" w:rsidRPr="006D1CBA" w:rsidRDefault="006D1CBA" w:rsidP="006D1CBA">
      <w:pPr>
        <w:tabs>
          <w:tab w:val="left" w:pos="6840"/>
        </w:tabs>
        <w:jc w:val="both"/>
        <w:outlineLvl w:val="0"/>
        <w:rPr>
          <w:rFonts w:eastAsia="Calibri" w:cs="Times New Roman"/>
          <w:iCs w:val="0"/>
          <w:szCs w:val="22"/>
          <w:lang w:val="es-MX" w:eastAsia="en-US"/>
        </w:rPr>
      </w:pPr>
      <w:r w:rsidRPr="006D1CBA">
        <w:rPr>
          <w:rFonts w:eastAsia="Calibri" w:cs="Times New Roman"/>
          <w:iCs w:val="0"/>
          <w:szCs w:val="22"/>
          <w:lang w:val="es-MX" w:eastAsia="en-US"/>
        </w:rPr>
        <w:t>El Estado de Flujos de Efectivo de las Entidades Paraestatales y Fideicomisos No Empresariales y No Financieros, muestra los flujos de efectivo, conformado por los elementos básicos: origen y aplicación de los recursos.</w:t>
      </w:r>
    </w:p>
    <w:p w14:paraId="05950A66" w14:textId="77777777" w:rsidR="006D1CBA" w:rsidRPr="006D1CBA" w:rsidRDefault="006D1CBA" w:rsidP="006D1CBA">
      <w:pPr>
        <w:tabs>
          <w:tab w:val="left" w:pos="6840"/>
        </w:tabs>
        <w:jc w:val="both"/>
        <w:outlineLvl w:val="0"/>
        <w:rPr>
          <w:rFonts w:eastAsia="Calibri" w:cs="Times New Roman"/>
          <w:iCs w:val="0"/>
          <w:szCs w:val="22"/>
          <w:lang w:val="es-MX" w:eastAsia="en-US"/>
        </w:rPr>
      </w:pPr>
    </w:p>
    <w:p w14:paraId="41BCA546" w14:textId="77777777" w:rsidR="006D1CBA" w:rsidRPr="006D1CBA" w:rsidRDefault="006D1CBA" w:rsidP="006D1CBA">
      <w:pPr>
        <w:tabs>
          <w:tab w:val="left" w:pos="6840"/>
        </w:tabs>
        <w:jc w:val="both"/>
        <w:outlineLvl w:val="0"/>
        <w:rPr>
          <w:rFonts w:eastAsia="Calibri" w:cs="Times New Roman"/>
          <w:iCs w:val="0"/>
          <w:szCs w:val="22"/>
          <w:lang w:val="es-MX" w:eastAsia="en-US"/>
        </w:rPr>
      </w:pPr>
      <w:r w:rsidRPr="006D1CBA">
        <w:rPr>
          <w:rFonts w:eastAsia="Calibri" w:cs="Times New Roman"/>
          <w:iCs w:val="0"/>
          <w:szCs w:val="22"/>
          <w:lang w:val="es-MX" w:eastAsia="en-US"/>
        </w:rPr>
        <w:t>El incremento neto en el efectivo y equivalentes al efectivo al 30 de junio de 2024 asciende a $ 6,624,425,555 pesos.</w:t>
      </w:r>
    </w:p>
    <w:p w14:paraId="7D1D4D6F" w14:textId="77777777" w:rsidR="006D1CBA" w:rsidRPr="006D1CBA" w:rsidRDefault="006D1CBA" w:rsidP="006D1CBA">
      <w:pPr>
        <w:jc w:val="both"/>
        <w:outlineLvl w:val="0"/>
        <w:rPr>
          <w:rFonts w:eastAsia="Calibri" w:cs="Times New Roman"/>
          <w:b/>
          <w:bCs/>
          <w:iCs w:val="0"/>
          <w:szCs w:val="22"/>
          <w:lang w:val="es-MX" w:eastAsia="en-US"/>
        </w:rPr>
      </w:pPr>
    </w:p>
    <w:p w14:paraId="6830A7D0"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Flujo de efectivo de las actividades de operación</w:t>
      </w:r>
    </w:p>
    <w:p w14:paraId="2DA2C695" w14:textId="77777777" w:rsidR="006D1CBA" w:rsidRPr="006D1CBA" w:rsidRDefault="006D1CBA" w:rsidP="006D1CBA">
      <w:pPr>
        <w:jc w:val="both"/>
        <w:outlineLvl w:val="0"/>
        <w:rPr>
          <w:rFonts w:eastAsia="Calibri" w:cs="Times New Roman"/>
          <w:b/>
          <w:bCs/>
          <w:iCs w:val="0"/>
          <w:szCs w:val="22"/>
          <w:lang w:val="es-MX" w:eastAsia="en-US"/>
        </w:rPr>
      </w:pPr>
    </w:p>
    <w:p w14:paraId="58A90ACF"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Durante el periodo que se informa, las Entidades Paraestatales y Fideicomisos No Empresariales y No Financieros, recibieron ingresos de gestión por la cantidad de $ 16,978,735,314 pesos. El gasto de funcionamiento devengado por el periodo comprendido del 1 de enero al 30 de junio de 2024 asciende a $ 8,312,095,733 pesos, el cual refleja un flujo neto positivo por actividades de operación por un importe de $ 8,666,639,581 pesos.</w:t>
      </w:r>
    </w:p>
    <w:p w14:paraId="68108861" w14:textId="77777777" w:rsidR="006D1CBA" w:rsidRPr="006D1CBA" w:rsidRDefault="006D1CBA" w:rsidP="006D1CBA">
      <w:pPr>
        <w:jc w:val="both"/>
        <w:outlineLvl w:val="0"/>
        <w:rPr>
          <w:rFonts w:eastAsia="Calibri" w:cs="Times New Roman"/>
          <w:b/>
          <w:bCs/>
          <w:iCs w:val="0"/>
          <w:szCs w:val="22"/>
          <w:lang w:val="es-MX" w:eastAsia="en-US"/>
        </w:rPr>
      </w:pPr>
    </w:p>
    <w:p w14:paraId="5D4CE1A1"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Flujo de efectivo de las actividades de inversión</w:t>
      </w:r>
    </w:p>
    <w:p w14:paraId="6978C902" w14:textId="77777777" w:rsidR="006D1CBA" w:rsidRPr="006D1CBA" w:rsidRDefault="006D1CBA" w:rsidP="006D1CBA">
      <w:pPr>
        <w:jc w:val="both"/>
        <w:outlineLvl w:val="0"/>
        <w:rPr>
          <w:rFonts w:eastAsia="Calibri" w:cs="Times New Roman"/>
          <w:b/>
          <w:bCs/>
          <w:iCs w:val="0"/>
          <w:szCs w:val="22"/>
          <w:lang w:val="es-MX" w:eastAsia="en-US"/>
        </w:rPr>
      </w:pPr>
    </w:p>
    <w:p w14:paraId="59C444AA"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Durante el periodo que se informa, las Entidades Paraestatales y Fideicomisos No Empresariales y No Financieros, recibieron ingresos de inversión por la cantidad de $ 4,984,674,729 pesos. El gasto de inversión devengado por el periodo comprendido del 1 de enero al 30 de junio de 2024 asciende a $ 7,353,041,053 pesos, el cual refleja un flujo neto negativo por actividades de inversión por un importe de $ 2,368,366,324 pesos.</w:t>
      </w:r>
    </w:p>
    <w:p w14:paraId="598B2006" w14:textId="77777777" w:rsidR="006D1CBA" w:rsidRPr="006D1CBA" w:rsidRDefault="006D1CBA" w:rsidP="006D1CBA">
      <w:pPr>
        <w:jc w:val="both"/>
        <w:outlineLvl w:val="0"/>
        <w:rPr>
          <w:rFonts w:eastAsia="Calibri" w:cs="Times New Roman"/>
          <w:bCs/>
          <w:iCs w:val="0"/>
          <w:szCs w:val="22"/>
          <w:lang w:val="es-MX" w:eastAsia="en-US"/>
        </w:rPr>
      </w:pPr>
    </w:p>
    <w:p w14:paraId="49586018"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Flujo de efectivo de las actividades de financiamiento</w:t>
      </w:r>
    </w:p>
    <w:p w14:paraId="5E6B515B" w14:textId="77777777" w:rsidR="006D1CBA" w:rsidRPr="006D1CBA" w:rsidRDefault="006D1CBA" w:rsidP="006D1CBA">
      <w:pPr>
        <w:jc w:val="both"/>
        <w:outlineLvl w:val="0"/>
        <w:rPr>
          <w:rFonts w:eastAsia="Calibri" w:cs="Times New Roman"/>
          <w:b/>
          <w:bCs/>
          <w:iCs w:val="0"/>
          <w:szCs w:val="22"/>
          <w:lang w:val="es-MX" w:eastAsia="en-US"/>
        </w:rPr>
      </w:pPr>
    </w:p>
    <w:p w14:paraId="561D0BB0"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Durante el periodo que se informa, las Entidades Paraestatales y Fideicomisos No Empresariales y No Financieros, reflejaron actividades de financiamiento por la cantidad de $ 1,836,482,457 pesos. La aplicación por actividades de financiamiento por el periodo comprendido del 1 de enero al 30 de junio de 2024 asciende a $ 1,510,330,159 pesos, el cual refleja un flujo neto positivo por actividades de financiamiento por un importe de $ 326,152,298 pesos.</w:t>
      </w:r>
    </w:p>
    <w:p w14:paraId="335653E7" w14:textId="77777777" w:rsidR="006D1CBA" w:rsidRPr="006D1CBA" w:rsidRDefault="006D1CBA" w:rsidP="006D1CBA">
      <w:pPr>
        <w:jc w:val="both"/>
        <w:outlineLvl w:val="0"/>
        <w:rPr>
          <w:rFonts w:eastAsia="Calibri" w:cs="Times New Roman"/>
          <w:bCs/>
          <w:iCs w:val="0"/>
          <w:szCs w:val="22"/>
          <w:lang w:val="es-MX" w:eastAsia="en-US"/>
        </w:rPr>
      </w:pPr>
    </w:p>
    <w:p w14:paraId="11DD8D27"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Efectivo y equivalentes al efectivo al final del ejercicio</w:t>
      </w:r>
    </w:p>
    <w:p w14:paraId="7B7CC889" w14:textId="77777777" w:rsidR="006D1CBA" w:rsidRPr="006D1CBA" w:rsidRDefault="006D1CBA" w:rsidP="006D1CBA">
      <w:pPr>
        <w:jc w:val="both"/>
        <w:outlineLvl w:val="0"/>
        <w:rPr>
          <w:rFonts w:eastAsia="Calibri" w:cs="Times New Roman"/>
          <w:b/>
          <w:bCs/>
          <w:iCs w:val="0"/>
          <w:szCs w:val="22"/>
          <w:lang w:val="es-MX" w:eastAsia="en-US"/>
        </w:rPr>
      </w:pPr>
    </w:p>
    <w:p w14:paraId="7D2638E3"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Las cifras del efectivo y equivalentes al efectivo, al final del ejercicio que figuran en la última parte del Estado de Flujos de Efectivo de las Entidades Paraestatales y Fideicomisos No Empresariales y No Financieros.</w:t>
      </w:r>
    </w:p>
    <w:p w14:paraId="3E6145E4" w14:textId="77777777" w:rsidR="006D1CBA" w:rsidRPr="006D1CBA" w:rsidRDefault="006D1CBA" w:rsidP="006D1CBA">
      <w:pPr>
        <w:jc w:val="both"/>
        <w:outlineLvl w:val="0"/>
        <w:rPr>
          <w:rFonts w:eastAsia="Calibri" w:cs="Times New Roman"/>
          <w:bCs/>
          <w:iCs w:val="0"/>
          <w:szCs w:val="22"/>
          <w:lang w:val="es-MX" w:eastAsia="en-US"/>
        </w:rPr>
      </w:pPr>
    </w:p>
    <w:p w14:paraId="34C3052F" w14:textId="77777777" w:rsidR="006D1CBA" w:rsidRPr="006D1CBA" w:rsidRDefault="006D1CBA" w:rsidP="006D1CBA">
      <w:pPr>
        <w:jc w:val="center"/>
        <w:outlineLvl w:val="0"/>
        <w:rPr>
          <w:rFonts w:eastAsia="Calibri" w:cs="Times New Roman"/>
          <w:bCs/>
          <w:iCs w:val="0"/>
          <w:szCs w:val="22"/>
          <w:lang w:val="es-MX" w:eastAsia="en-US"/>
        </w:rPr>
      </w:pPr>
      <w:r w:rsidRPr="006D1CBA">
        <w:rPr>
          <w:rFonts w:eastAsia="Calibri" w:cs="Times New Roman"/>
          <w:iCs w:val="0"/>
          <w:szCs w:val="22"/>
          <w:lang w:val="es-MX" w:eastAsia="en-US"/>
        </w:rPr>
        <w:lastRenderedPageBreak/>
        <w:drawing>
          <wp:inline distT="0" distB="0" distL="0" distR="0" wp14:anchorId="41EC9121" wp14:editId="119AF4A8">
            <wp:extent cx="5400000" cy="1152920"/>
            <wp:effectExtent l="0" t="0" r="0" b="0"/>
            <wp:docPr id="1904501762" name="Imagen 190450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00" cy="1152920"/>
                    </a:xfrm>
                    <a:prstGeom prst="rect">
                      <a:avLst/>
                    </a:prstGeom>
                    <a:noFill/>
                    <a:ln>
                      <a:noFill/>
                    </a:ln>
                  </pic:spPr>
                </pic:pic>
              </a:graphicData>
            </a:graphic>
          </wp:inline>
        </w:drawing>
      </w:r>
    </w:p>
    <w:p w14:paraId="38AAAF3F" w14:textId="77777777" w:rsidR="006D1CBA" w:rsidRPr="006D1CBA" w:rsidRDefault="006D1CBA" w:rsidP="006D1CBA">
      <w:pPr>
        <w:jc w:val="both"/>
        <w:outlineLvl w:val="0"/>
        <w:rPr>
          <w:rFonts w:eastAsia="Calibri" w:cs="Times New Roman"/>
          <w:bCs/>
          <w:iCs w:val="0"/>
          <w:szCs w:val="22"/>
          <w:lang w:val="es-MX" w:eastAsia="en-US"/>
        </w:rPr>
      </w:pPr>
    </w:p>
    <w:p w14:paraId="0711CF32" w14:textId="77777777" w:rsidR="006D1CBA" w:rsidRPr="006D1CBA" w:rsidRDefault="006D1CBA" w:rsidP="006D1CBA">
      <w:pPr>
        <w:jc w:val="both"/>
        <w:outlineLvl w:val="0"/>
        <w:rPr>
          <w:rFonts w:eastAsia="Calibri" w:cs="Times New Roman"/>
          <w:bCs/>
          <w:iCs w:val="0"/>
          <w:szCs w:val="22"/>
          <w:lang w:val="es-MX" w:eastAsia="en-US"/>
        </w:rPr>
      </w:pPr>
    </w:p>
    <w:p w14:paraId="11F7B721"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Efectivo y Equivalentes</w:t>
      </w:r>
    </w:p>
    <w:p w14:paraId="673918E5" w14:textId="77777777" w:rsidR="006D1CBA" w:rsidRPr="006D1CBA" w:rsidRDefault="006D1CBA" w:rsidP="006D1CBA">
      <w:pPr>
        <w:numPr>
          <w:ilvl w:val="1"/>
          <w:numId w:val="0"/>
        </w:numPr>
        <w:jc w:val="both"/>
        <w:rPr>
          <w:rFonts w:eastAsia="Calibri" w:cs="Times New Roman"/>
          <w:b/>
          <w:bCs/>
          <w:iCs w:val="0"/>
          <w:szCs w:val="22"/>
          <w:lang w:val="es-MX" w:eastAsia="en-US"/>
        </w:rPr>
      </w:pPr>
    </w:p>
    <w:p w14:paraId="147CF3F8"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El análisis de los saldos inicial y final del efectivo y equivalentes al efectivo, al final del ejercicio del estado de flujos de efectivo, respecto a la composición del rubro efectivo y equivalentes es como sigue:</w:t>
      </w:r>
    </w:p>
    <w:p w14:paraId="18A81E5A" w14:textId="77777777" w:rsidR="006D1CBA" w:rsidRPr="006D1CBA" w:rsidRDefault="006D1CBA" w:rsidP="006D1CBA">
      <w:pPr>
        <w:jc w:val="both"/>
        <w:outlineLvl w:val="0"/>
        <w:rPr>
          <w:rFonts w:eastAsia="Calibri" w:cs="Times New Roman"/>
          <w:bCs/>
          <w:iCs w:val="0"/>
          <w:szCs w:val="22"/>
          <w:lang w:val="es-MX" w:eastAsia="en-US"/>
        </w:rPr>
      </w:pPr>
    </w:p>
    <w:p w14:paraId="04A13173" w14:textId="77777777" w:rsidR="006D1CBA" w:rsidRPr="006D1CBA" w:rsidRDefault="006D1CBA" w:rsidP="006D1CBA">
      <w:pPr>
        <w:tabs>
          <w:tab w:val="left" w:pos="6840"/>
        </w:tabs>
        <w:jc w:val="center"/>
        <w:outlineLvl w:val="0"/>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2B1AAB03" wp14:editId="3FB6A9AC">
            <wp:extent cx="5400000" cy="2140777"/>
            <wp:effectExtent l="0" t="0" r="0" b="0"/>
            <wp:docPr id="1904501764" name="Imagen 190450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00" cy="2140777"/>
                    </a:xfrm>
                    <a:prstGeom prst="rect">
                      <a:avLst/>
                    </a:prstGeom>
                    <a:noFill/>
                    <a:ln>
                      <a:noFill/>
                    </a:ln>
                  </pic:spPr>
                </pic:pic>
              </a:graphicData>
            </a:graphic>
          </wp:inline>
        </w:drawing>
      </w:r>
    </w:p>
    <w:p w14:paraId="36F2B895" w14:textId="77777777" w:rsidR="006D1CBA" w:rsidRPr="006D1CBA" w:rsidRDefault="006D1CBA" w:rsidP="006D1CBA">
      <w:pPr>
        <w:tabs>
          <w:tab w:val="left" w:pos="6840"/>
        </w:tabs>
        <w:jc w:val="both"/>
        <w:outlineLvl w:val="0"/>
        <w:rPr>
          <w:rFonts w:eastAsia="Calibri" w:cs="Times New Roman"/>
          <w:iCs w:val="0"/>
          <w:szCs w:val="22"/>
          <w:lang w:val="es-MX" w:eastAsia="en-US"/>
        </w:rPr>
      </w:pPr>
    </w:p>
    <w:p w14:paraId="18A001A0" w14:textId="77777777" w:rsidR="006D1CBA" w:rsidRPr="006D1CBA" w:rsidRDefault="006D1CBA" w:rsidP="006D1CBA">
      <w:pPr>
        <w:tabs>
          <w:tab w:val="left" w:pos="6840"/>
        </w:tabs>
        <w:jc w:val="both"/>
        <w:outlineLvl w:val="0"/>
        <w:rPr>
          <w:rFonts w:eastAsia="Calibri" w:cs="Times New Roman"/>
          <w:iCs w:val="0"/>
          <w:szCs w:val="22"/>
          <w:lang w:val="es-MX" w:eastAsia="en-US"/>
        </w:rPr>
      </w:pPr>
    </w:p>
    <w:p w14:paraId="4D6B1444"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Adquisiciones de las Actividades de Inversión efectivamente pagadas</w:t>
      </w:r>
    </w:p>
    <w:p w14:paraId="1FF556F0" w14:textId="77777777" w:rsidR="006D1CBA" w:rsidRPr="006D1CBA" w:rsidRDefault="006D1CBA" w:rsidP="006D1CBA">
      <w:pPr>
        <w:numPr>
          <w:ilvl w:val="1"/>
          <w:numId w:val="0"/>
        </w:numPr>
        <w:jc w:val="both"/>
        <w:rPr>
          <w:rFonts w:eastAsia="Calibri" w:cs="Times New Roman"/>
          <w:b/>
          <w:bCs/>
          <w:iCs w:val="0"/>
          <w:szCs w:val="22"/>
          <w:lang w:val="es-MX" w:eastAsia="en-US"/>
        </w:rPr>
      </w:pPr>
    </w:p>
    <w:p w14:paraId="2214EDB0"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Al 30 de junio de 2024, se realizaron adquisiciones de las Actividades de Inversión efectivamente pagadas, respecto del apartado de aplicación, mismas que a continuación se describen:</w:t>
      </w:r>
    </w:p>
    <w:p w14:paraId="17EF2AC5" w14:textId="77777777" w:rsidR="006D1CBA" w:rsidRPr="006D1CBA" w:rsidRDefault="006D1CBA" w:rsidP="006D1CBA">
      <w:pPr>
        <w:jc w:val="both"/>
        <w:outlineLvl w:val="0"/>
        <w:rPr>
          <w:rFonts w:eastAsia="Calibri" w:cs="Times New Roman"/>
          <w:bCs/>
          <w:iCs w:val="0"/>
          <w:szCs w:val="22"/>
          <w:lang w:val="es-MX" w:eastAsia="en-US"/>
        </w:rPr>
      </w:pPr>
    </w:p>
    <w:p w14:paraId="4D487306" w14:textId="77777777" w:rsidR="006D1CBA" w:rsidRPr="006D1CBA" w:rsidRDefault="006D1CBA" w:rsidP="006D1CBA">
      <w:pPr>
        <w:jc w:val="center"/>
        <w:outlineLvl w:val="0"/>
        <w:rPr>
          <w:rFonts w:eastAsia="Calibri" w:cs="Times New Roman"/>
          <w:bCs/>
          <w:iCs w:val="0"/>
          <w:szCs w:val="22"/>
          <w:lang w:val="es-MX" w:eastAsia="en-US"/>
        </w:rPr>
      </w:pPr>
      <w:r w:rsidRPr="006D1CBA">
        <w:rPr>
          <w:rFonts w:eastAsia="Calibri" w:cs="Times New Roman"/>
          <w:iCs w:val="0"/>
          <w:szCs w:val="22"/>
          <w:lang w:val="es-MX" w:eastAsia="en-US"/>
        </w:rPr>
        <w:drawing>
          <wp:inline distT="0" distB="0" distL="0" distR="0" wp14:anchorId="02B09B57" wp14:editId="29C3CD56">
            <wp:extent cx="5400000" cy="3229746"/>
            <wp:effectExtent l="0" t="0" r="0" b="0"/>
            <wp:docPr id="1904501765" name="Imagen 190450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00" cy="3229746"/>
                    </a:xfrm>
                    <a:prstGeom prst="rect">
                      <a:avLst/>
                    </a:prstGeom>
                    <a:noFill/>
                    <a:ln>
                      <a:noFill/>
                    </a:ln>
                  </pic:spPr>
                </pic:pic>
              </a:graphicData>
            </a:graphic>
          </wp:inline>
        </w:drawing>
      </w:r>
    </w:p>
    <w:p w14:paraId="05E3B546"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lastRenderedPageBreak/>
        <w:t>Conciliación de Flujos de Efectivo Netos</w:t>
      </w:r>
    </w:p>
    <w:p w14:paraId="0BADEB04" w14:textId="77777777" w:rsidR="006D1CBA" w:rsidRPr="006D1CBA" w:rsidRDefault="006D1CBA" w:rsidP="006D1CBA">
      <w:pPr>
        <w:numPr>
          <w:ilvl w:val="1"/>
          <w:numId w:val="0"/>
        </w:numPr>
        <w:jc w:val="both"/>
        <w:rPr>
          <w:rFonts w:eastAsia="Calibri" w:cs="Times New Roman"/>
          <w:b/>
          <w:bCs/>
          <w:iCs w:val="0"/>
          <w:szCs w:val="22"/>
          <w:lang w:val="es-MX" w:eastAsia="en-US"/>
        </w:rPr>
      </w:pPr>
    </w:p>
    <w:p w14:paraId="2A1DAEDA" w14:textId="00A895D2" w:rsid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A continuación, se presenta la conciliación de los flujos de efectivo netos de las actividades de operación y saldos de resultados del ejercicio (ahorro/desahorro):</w:t>
      </w:r>
    </w:p>
    <w:p w14:paraId="5E884306" w14:textId="77777777" w:rsidR="002979D0" w:rsidRPr="006D1CBA" w:rsidRDefault="002979D0" w:rsidP="006D1CBA">
      <w:pPr>
        <w:jc w:val="both"/>
        <w:outlineLvl w:val="0"/>
        <w:rPr>
          <w:rFonts w:eastAsia="Calibri" w:cs="Times New Roman"/>
          <w:bCs/>
          <w:iCs w:val="0"/>
          <w:szCs w:val="22"/>
          <w:lang w:val="es-MX" w:eastAsia="en-US"/>
        </w:rPr>
      </w:pPr>
    </w:p>
    <w:p w14:paraId="4FC9B617" w14:textId="77777777" w:rsidR="006D1CBA" w:rsidRPr="006D1CBA" w:rsidRDefault="006D1CBA" w:rsidP="006D1CBA">
      <w:pPr>
        <w:tabs>
          <w:tab w:val="left" w:pos="6840"/>
        </w:tabs>
        <w:jc w:val="center"/>
        <w:outlineLvl w:val="0"/>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680C44C3" wp14:editId="39B6CA20">
            <wp:extent cx="5886450" cy="1771650"/>
            <wp:effectExtent l="0" t="0" r="0" b="0"/>
            <wp:docPr id="1904501766" name="Imagen 190450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86450" cy="1771650"/>
                    </a:xfrm>
                    <a:prstGeom prst="rect">
                      <a:avLst/>
                    </a:prstGeom>
                    <a:noFill/>
                    <a:ln>
                      <a:noFill/>
                    </a:ln>
                  </pic:spPr>
                </pic:pic>
              </a:graphicData>
            </a:graphic>
          </wp:inline>
        </w:drawing>
      </w:r>
    </w:p>
    <w:p w14:paraId="085B627B" w14:textId="77777777" w:rsidR="006D1CBA" w:rsidRPr="006D1CBA" w:rsidRDefault="006D1CBA" w:rsidP="006D1CBA">
      <w:pPr>
        <w:jc w:val="both"/>
        <w:rPr>
          <w:rFonts w:eastAsia="Calibri" w:cs="Times New Roman"/>
          <w:b/>
          <w:bCs/>
          <w:szCs w:val="22"/>
          <w:lang w:val="es-MX" w:eastAsia="en-US"/>
        </w:rPr>
      </w:pPr>
    </w:p>
    <w:p w14:paraId="34DDBF28" w14:textId="77777777" w:rsidR="006D1CBA" w:rsidRPr="006D1CBA" w:rsidRDefault="006D1CBA" w:rsidP="006D1CBA">
      <w:pPr>
        <w:jc w:val="both"/>
        <w:rPr>
          <w:rFonts w:eastAsia="Calibri" w:cs="Times New Roman"/>
          <w:b/>
          <w:bCs/>
          <w:szCs w:val="22"/>
          <w:lang w:val="es-MX" w:eastAsia="en-US"/>
        </w:rPr>
      </w:pPr>
    </w:p>
    <w:p w14:paraId="39FB3D65"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Conciliación entre los ingresos presupuestarios y contables, así como entre los egresos presupuestarios y los gastos contables</w:t>
      </w:r>
    </w:p>
    <w:p w14:paraId="766F19B0" w14:textId="77777777" w:rsidR="006D1CBA" w:rsidRPr="006D1CBA" w:rsidRDefault="006D1CBA" w:rsidP="006D1CBA">
      <w:pPr>
        <w:jc w:val="both"/>
        <w:outlineLvl w:val="0"/>
        <w:rPr>
          <w:rFonts w:eastAsia="Calibri" w:cs="Times New Roman"/>
          <w:b/>
          <w:bCs/>
          <w:iCs w:val="0"/>
          <w:szCs w:val="22"/>
          <w:lang w:val="es-MX" w:eastAsia="en-US"/>
        </w:rPr>
      </w:pPr>
    </w:p>
    <w:p w14:paraId="1F397884"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y Fideicomisos no Empresariales y no Financieros, correspondiente del 1 de enero al 30 de junio de 2024:</w:t>
      </w:r>
    </w:p>
    <w:p w14:paraId="7AD111ED" w14:textId="77777777" w:rsidR="006D1CBA" w:rsidRPr="006D1CBA" w:rsidRDefault="006D1CBA" w:rsidP="006D1CBA">
      <w:pPr>
        <w:tabs>
          <w:tab w:val="left" w:pos="6840"/>
        </w:tabs>
        <w:jc w:val="both"/>
        <w:outlineLvl w:val="0"/>
        <w:rPr>
          <w:rFonts w:eastAsia="Calibri" w:cs="Times New Roman"/>
          <w:iCs w:val="0"/>
          <w:szCs w:val="22"/>
          <w:lang w:val="es-MX" w:eastAsia="en-US"/>
        </w:rPr>
      </w:pPr>
    </w:p>
    <w:p w14:paraId="41A9B738" w14:textId="77777777" w:rsidR="006D1CBA" w:rsidRPr="006D1CBA" w:rsidRDefault="006D1CBA" w:rsidP="006D1CBA">
      <w:pPr>
        <w:tabs>
          <w:tab w:val="left" w:pos="6840"/>
        </w:tabs>
        <w:jc w:val="center"/>
        <w:outlineLvl w:val="0"/>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34750CEF" wp14:editId="097E0877">
            <wp:extent cx="6403975" cy="3498850"/>
            <wp:effectExtent l="0" t="0" r="0" b="0"/>
            <wp:docPr id="1904501767" name="Imagen 190450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3975" cy="3498850"/>
                    </a:xfrm>
                    <a:prstGeom prst="rect">
                      <a:avLst/>
                    </a:prstGeom>
                    <a:noFill/>
                    <a:ln>
                      <a:noFill/>
                    </a:ln>
                  </pic:spPr>
                </pic:pic>
              </a:graphicData>
            </a:graphic>
          </wp:inline>
        </w:drawing>
      </w:r>
    </w:p>
    <w:p w14:paraId="26E6BE94" w14:textId="77777777" w:rsidR="006D1CBA" w:rsidRPr="006D1CBA" w:rsidRDefault="006D1CBA" w:rsidP="006D1CBA">
      <w:pPr>
        <w:tabs>
          <w:tab w:val="left" w:pos="6840"/>
        </w:tabs>
        <w:jc w:val="both"/>
        <w:outlineLvl w:val="0"/>
        <w:rPr>
          <w:rFonts w:ascii="Calibri" w:eastAsia="Calibri" w:hAnsi="Calibri" w:cs="Times New Roman"/>
          <w:noProof/>
          <w:sz w:val="22"/>
          <w:szCs w:val="22"/>
          <w:lang w:val="es-MX" w:eastAsia="en-US"/>
        </w:rPr>
      </w:pPr>
    </w:p>
    <w:p w14:paraId="7D2A086E" w14:textId="77777777" w:rsidR="006D1CBA" w:rsidRPr="006D1CBA" w:rsidRDefault="006D1CBA" w:rsidP="006D1CBA">
      <w:pPr>
        <w:tabs>
          <w:tab w:val="left" w:pos="6840"/>
        </w:tabs>
        <w:jc w:val="center"/>
        <w:outlineLvl w:val="0"/>
        <w:rPr>
          <w:rFonts w:eastAsia="Calibri" w:cs="Times New Roman"/>
          <w:iCs w:val="0"/>
          <w:szCs w:val="22"/>
          <w:lang w:val="es-MX" w:eastAsia="en-US"/>
        </w:rPr>
      </w:pPr>
      <w:r w:rsidRPr="006D1CBA">
        <w:rPr>
          <w:rFonts w:eastAsia="Calibri" w:cs="Times New Roman"/>
          <w:iCs w:val="0"/>
          <w:szCs w:val="22"/>
          <w:lang w:val="es-MX" w:eastAsia="en-US"/>
        </w:rPr>
        <w:lastRenderedPageBreak/>
        <w:drawing>
          <wp:inline distT="0" distB="0" distL="0" distR="0" wp14:anchorId="43177653" wp14:editId="762337B9">
            <wp:extent cx="6403975" cy="5300980"/>
            <wp:effectExtent l="0" t="0" r="0" b="0"/>
            <wp:docPr id="1904501768" name="Imagen 190450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3975" cy="5300980"/>
                    </a:xfrm>
                    <a:prstGeom prst="rect">
                      <a:avLst/>
                    </a:prstGeom>
                    <a:noFill/>
                    <a:ln>
                      <a:noFill/>
                    </a:ln>
                  </pic:spPr>
                </pic:pic>
              </a:graphicData>
            </a:graphic>
          </wp:inline>
        </w:drawing>
      </w:r>
    </w:p>
    <w:p w14:paraId="50926DE7" w14:textId="77777777" w:rsidR="006D1CBA" w:rsidRPr="006D1CBA" w:rsidRDefault="006D1CBA" w:rsidP="006D1CBA">
      <w:pPr>
        <w:tabs>
          <w:tab w:val="left" w:pos="6840"/>
        </w:tabs>
        <w:jc w:val="both"/>
        <w:outlineLvl w:val="0"/>
        <w:rPr>
          <w:rFonts w:eastAsia="Calibri" w:cs="Times New Roman"/>
          <w:iCs w:val="0"/>
          <w:szCs w:val="22"/>
          <w:lang w:val="es-MX" w:eastAsia="en-US"/>
        </w:rPr>
      </w:pPr>
    </w:p>
    <w:p w14:paraId="1C8F2032" w14:textId="77777777" w:rsidR="006D1CBA" w:rsidRPr="006D1CBA" w:rsidRDefault="006D1CBA" w:rsidP="006D1CBA">
      <w:pPr>
        <w:tabs>
          <w:tab w:val="left" w:pos="6840"/>
        </w:tabs>
        <w:jc w:val="both"/>
        <w:outlineLvl w:val="0"/>
        <w:rPr>
          <w:rFonts w:eastAsia="Calibri" w:cs="Times New Roman"/>
          <w:iCs w:val="0"/>
          <w:szCs w:val="22"/>
          <w:lang w:val="es-MX" w:eastAsia="en-US"/>
        </w:rPr>
      </w:pPr>
    </w:p>
    <w:p w14:paraId="39D2D982" w14:textId="77777777" w:rsidR="006D1CBA" w:rsidRPr="006D1CBA" w:rsidRDefault="006D1CBA" w:rsidP="006D1CBA">
      <w:pPr>
        <w:jc w:val="both"/>
        <w:rPr>
          <w:rFonts w:eastAsia="Calibri" w:cs="Times New Roman"/>
          <w:b/>
          <w:sz w:val="24"/>
          <w:szCs w:val="24"/>
          <w:lang w:val="es-MX" w:eastAsia="en-US"/>
        </w:rPr>
      </w:pPr>
      <w:r w:rsidRPr="006D1CBA">
        <w:rPr>
          <w:rFonts w:eastAsia="Calibri" w:cs="Times New Roman"/>
          <w:b/>
          <w:iCs w:val="0"/>
          <w:sz w:val="24"/>
          <w:szCs w:val="24"/>
          <w:lang w:val="es-MX" w:eastAsia="en-US"/>
        </w:rPr>
        <w:t>Notas de memoria (cuentas de orden)</w:t>
      </w:r>
    </w:p>
    <w:p w14:paraId="68EF24AB" w14:textId="77777777" w:rsidR="006D1CBA" w:rsidRPr="006D1CBA" w:rsidRDefault="006D1CBA" w:rsidP="006D1CBA">
      <w:pPr>
        <w:jc w:val="both"/>
        <w:outlineLvl w:val="0"/>
        <w:rPr>
          <w:rFonts w:eastAsia="Calibri" w:cs="Times New Roman"/>
          <w:b/>
          <w:bCs/>
          <w:iCs w:val="0"/>
          <w:szCs w:val="22"/>
          <w:lang w:val="es-MX" w:eastAsia="en-US"/>
        </w:rPr>
      </w:pPr>
    </w:p>
    <w:p w14:paraId="395EA929"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7F8C5917" w14:textId="77777777" w:rsidR="006D1CBA" w:rsidRPr="006D1CBA" w:rsidRDefault="006D1CBA" w:rsidP="006D1CBA">
      <w:pPr>
        <w:jc w:val="both"/>
        <w:outlineLvl w:val="0"/>
        <w:rPr>
          <w:rFonts w:eastAsia="Calibri" w:cs="Times New Roman"/>
          <w:bCs/>
          <w:iCs w:val="0"/>
          <w:szCs w:val="22"/>
          <w:lang w:val="es-MX" w:eastAsia="en-US"/>
        </w:rPr>
      </w:pPr>
    </w:p>
    <w:p w14:paraId="4642C755" w14:textId="77777777" w:rsidR="006D1CBA" w:rsidRPr="006D1CBA" w:rsidRDefault="006D1CBA" w:rsidP="006D1CBA">
      <w:pPr>
        <w:jc w:val="both"/>
        <w:outlineLvl w:val="0"/>
        <w:rPr>
          <w:rFonts w:eastAsia="Calibri" w:cs="Times New Roman"/>
          <w:bCs/>
          <w:iCs w:val="0"/>
          <w:szCs w:val="22"/>
          <w:lang w:val="es-MX" w:eastAsia="en-US"/>
        </w:rPr>
      </w:pPr>
      <w:r w:rsidRPr="006D1CBA">
        <w:rPr>
          <w:rFonts w:eastAsia="Calibri" w:cs="Times New Roman"/>
          <w:bCs/>
          <w:iCs w:val="0"/>
          <w:szCs w:val="22"/>
          <w:lang w:val="es-MX" w:eastAsia="en-US"/>
        </w:rPr>
        <w:t>Las notas de memoria, representan los movimientos de valores que no afecten o modifiquen el balance de las Entidades Paraestatales y Fideicomisos No Empresariales y No Financieros, sin embargo, su incorporación en libros es necesaria con fines de recordatorio contable, de control y en general sobre los aspectos administrativos, o bien, para consignar sus derechos o responsabilidades contingentes que puedan, o no, presentarse en el futuro.</w:t>
      </w:r>
    </w:p>
    <w:p w14:paraId="0AE5EB03" w14:textId="77777777" w:rsidR="006D1CBA" w:rsidRPr="006D1CBA" w:rsidRDefault="006D1CBA" w:rsidP="006D1CBA">
      <w:pPr>
        <w:jc w:val="both"/>
        <w:outlineLvl w:val="0"/>
        <w:rPr>
          <w:rFonts w:eastAsia="Calibri" w:cs="Times New Roman"/>
          <w:bCs/>
          <w:iCs w:val="0"/>
          <w:szCs w:val="22"/>
          <w:lang w:val="es-MX" w:eastAsia="en-US"/>
        </w:rPr>
      </w:pPr>
    </w:p>
    <w:p w14:paraId="3175917B" w14:textId="77777777" w:rsidR="006D1CBA" w:rsidRPr="006D1CBA" w:rsidRDefault="006D1CBA" w:rsidP="006D1CBA">
      <w:pPr>
        <w:jc w:val="both"/>
        <w:rPr>
          <w:rFonts w:eastAsia="Calibri" w:cs="Times New Roman"/>
          <w:b/>
          <w:bCs/>
          <w:caps/>
          <w:szCs w:val="22"/>
          <w:lang w:val="es-MX" w:eastAsia="en-US"/>
        </w:rPr>
      </w:pPr>
      <w:r w:rsidRPr="006D1CBA">
        <w:rPr>
          <w:rFonts w:eastAsia="Calibri" w:cs="Times New Roman"/>
          <w:b/>
          <w:bCs/>
          <w:iCs w:val="0"/>
          <w:szCs w:val="22"/>
          <w:lang w:val="es-MX" w:eastAsia="en-US"/>
        </w:rPr>
        <w:t>Cuentas de orden contables</w:t>
      </w:r>
    </w:p>
    <w:p w14:paraId="065AE8CA" w14:textId="77777777" w:rsidR="006D1CBA" w:rsidRPr="006D1CBA" w:rsidRDefault="006D1CBA" w:rsidP="006D1CBA">
      <w:pPr>
        <w:jc w:val="both"/>
        <w:rPr>
          <w:rFonts w:eastAsia="Calibri" w:cs="Times New Roman"/>
          <w:b/>
          <w:bCs/>
          <w:i/>
          <w:szCs w:val="22"/>
          <w:lang w:val="es-MX" w:eastAsia="en-US"/>
        </w:rPr>
      </w:pPr>
    </w:p>
    <w:p w14:paraId="68A13D56"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 xml:space="preserve">Avales y garantías </w:t>
      </w:r>
    </w:p>
    <w:p w14:paraId="0CBAEFAD" w14:textId="77777777" w:rsidR="006D1CBA" w:rsidRPr="006D1CBA" w:rsidRDefault="006D1CBA" w:rsidP="006D1CBA">
      <w:pPr>
        <w:autoSpaceDE w:val="0"/>
        <w:autoSpaceDN w:val="0"/>
        <w:adjustRightInd w:val="0"/>
        <w:jc w:val="both"/>
        <w:rPr>
          <w:rFonts w:eastAsia="Calibri" w:cs="Times New Roman"/>
          <w:b/>
          <w:i/>
          <w:iCs w:val="0"/>
          <w:szCs w:val="22"/>
          <w:lang w:val="es-MX" w:eastAsia="en-US"/>
        </w:rPr>
      </w:pPr>
    </w:p>
    <w:p w14:paraId="7A8974BE"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Los avales y garantías derivado de la prestación de servicios que realizan los proveedores a las entidades, su monto asciende a $ 69,926,416 pesos.</w:t>
      </w:r>
    </w:p>
    <w:p w14:paraId="0650A65F"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5F0B3C0A" w14:textId="77777777" w:rsidR="006D1CBA" w:rsidRPr="006D1CBA" w:rsidRDefault="006D1CBA" w:rsidP="006D1CBA">
      <w:pPr>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lastRenderedPageBreak/>
        <w:drawing>
          <wp:inline distT="0" distB="0" distL="0" distR="0" wp14:anchorId="401DB1CA" wp14:editId="4E3A5658">
            <wp:extent cx="6403975" cy="1687830"/>
            <wp:effectExtent l="0" t="0" r="0" b="0"/>
            <wp:docPr id="1904501769" name="Imagen 190450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3975" cy="1687830"/>
                    </a:xfrm>
                    <a:prstGeom prst="rect">
                      <a:avLst/>
                    </a:prstGeom>
                    <a:noFill/>
                    <a:ln>
                      <a:noFill/>
                    </a:ln>
                  </pic:spPr>
                </pic:pic>
              </a:graphicData>
            </a:graphic>
          </wp:inline>
        </w:drawing>
      </w:r>
    </w:p>
    <w:p w14:paraId="4D0B27F2"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4008405D"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1799F446"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 xml:space="preserve">Bienes en concesionados o en comodato </w:t>
      </w:r>
    </w:p>
    <w:p w14:paraId="083CD5A9" w14:textId="77777777" w:rsidR="006D1CBA" w:rsidRPr="006D1CBA" w:rsidRDefault="006D1CBA" w:rsidP="006D1CBA">
      <w:pPr>
        <w:jc w:val="both"/>
        <w:outlineLvl w:val="0"/>
        <w:rPr>
          <w:rFonts w:eastAsia="Calibri" w:cs="Times New Roman"/>
          <w:b/>
          <w:bCs/>
          <w:i/>
          <w:szCs w:val="22"/>
          <w:lang w:val="es-MX" w:eastAsia="en-US"/>
        </w:rPr>
      </w:pPr>
    </w:p>
    <w:p w14:paraId="20DD58A9" w14:textId="77777777" w:rsidR="006D1CBA" w:rsidRPr="006D1CBA" w:rsidRDefault="006D1CBA" w:rsidP="006D1CBA">
      <w:pPr>
        <w:autoSpaceDE w:val="0"/>
        <w:autoSpaceDN w:val="0"/>
        <w:adjustRightInd w:val="0"/>
        <w:jc w:val="both"/>
        <w:rPr>
          <w:rFonts w:eastAsia="Calibri" w:cs="Times New Roman"/>
          <w:iCs w:val="0"/>
          <w:szCs w:val="22"/>
          <w:lang w:val="es-MX" w:eastAsia="en-US"/>
        </w:rPr>
      </w:pPr>
      <w:r w:rsidRPr="006D1CBA">
        <w:rPr>
          <w:rFonts w:eastAsia="Calibri" w:cs="Times New Roman"/>
          <w:iCs w:val="0"/>
          <w:szCs w:val="22"/>
          <w:lang w:val="es-MX" w:eastAsia="en-US"/>
        </w:rPr>
        <w:t>Los bienes en concesionados o en comodato, representan los bienes muebles que se otorgan entre entidades públicas, los cuales asciende a $ 419,495,670 pesos.</w:t>
      </w:r>
    </w:p>
    <w:p w14:paraId="669F21EF"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01E5C62A" w14:textId="77777777" w:rsidR="006D1CBA" w:rsidRPr="006D1CBA" w:rsidRDefault="006D1CBA" w:rsidP="006D1CBA">
      <w:pPr>
        <w:autoSpaceDE w:val="0"/>
        <w:autoSpaceDN w:val="0"/>
        <w:adjustRightInd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2F0F3E25" wp14:editId="76CFD28D">
            <wp:extent cx="6403975" cy="1616710"/>
            <wp:effectExtent l="0" t="0" r="0" b="0"/>
            <wp:docPr id="1904501770" name="Imagen 190450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3975" cy="1616710"/>
                    </a:xfrm>
                    <a:prstGeom prst="rect">
                      <a:avLst/>
                    </a:prstGeom>
                    <a:noFill/>
                    <a:ln>
                      <a:noFill/>
                    </a:ln>
                  </pic:spPr>
                </pic:pic>
              </a:graphicData>
            </a:graphic>
          </wp:inline>
        </w:drawing>
      </w:r>
    </w:p>
    <w:p w14:paraId="66EFE1CB" w14:textId="77777777" w:rsidR="006D1CBA" w:rsidRPr="006D1CBA" w:rsidRDefault="006D1CBA" w:rsidP="006D1CBA">
      <w:pPr>
        <w:autoSpaceDE w:val="0"/>
        <w:autoSpaceDN w:val="0"/>
        <w:adjustRightInd w:val="0"/>
        <w:jc w:val="both"/>
        <w:rPr>
          <w:rFonts w:eastAsia="Calibri" w:cs="Times New Roman"/>
          <w:iCs w:val="0"/>
          <w:szCs w:val="22"/>
          <w:lang w:val="es-MX" w:eastAsia="en-US"/>
        </w:rPr>
      </w:pPr>
    </w:p>
    <w:p w14:paraId="1BB60CDB" w14:textId="77777777" w:rsidR="006D1CBA" w:rsidRPr="006D1CBA" w:rsidRDefault="006D1CBA" w:rsidP="006D1CBA">
      <w:pPr>
        <w:jc w:val="both"/>
        <w:rPr>
          <w:rFonts w:eastAsia="Calibri" w:cs="Times New Roman"/>
          <w:b/>
          <w:bCs/>
          <w:szCs w:val="22"/>
          <w:lang w:val="es-MX" w:eastAsia="en-US"/>
        </w:rPr>
      </w:pPr>
    </w:p>
    <w:p w14:paraId="3217EB73"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Cuentas de orden presupuestario</w:t>
      </w:r>
    </w:p>
    <w:p w14:paraId="5AB075F7" w14:textId="77777777" w:rsidR="006D1CBA" w:rsidRPr="006D1CBA" w:rsidRDefault="006D1CBA" w:rsidP="006D1CBA">
      <w:pPr>
        <w:jc w:val="both"/>
        <w:rPr>
          <w:rFonts w:eastAsia="Calibri" w:cs="Times New Roman"/>
          <w:b/>
          <w:bCs/>
          <w:caps/>
          <w:szCs w:val="22"/>
          <w:lang w:val="es-MX" w:eastAsia="en-US"/>
        </w:rPr>
      </w:pPr>
    </w:p>
    <w:p w14:paraId="3EAA60BE"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Cuentas de ingresos</w:t>
      </w:r>
    </w:p>
    <w:p w14:paraId="294E34F6" w14:textId="77777777" w:rsidR="006D1CBA" w:rsidRPr="006D1CBA" w:rsidRDefault="006D1CBA" w:rsidP="006D1CBA">
      <w:pPr>
        <w:jc w:val="both"/>
        <w:rPr>
          <w:rFonts w:eastAsia="Calibri" w:cs="Times New Roman"/>
          <w:bCs/>
          <w:iCs w:val="0"/>
          <w:szCs w:val="22"/>
          <w:lang w:val="es-MX" w:eastAsia="en-US"/>
        </w:rPr>
      </w:pPr>
    </w:p>
    <w:p w14:paraId="38529656"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Al inicio del ejercicio 2024, se aprobó un presupuesto de ingresos de $ 26,336,975,502 pesos, para las Entidades Paraestatales y Fideicomisos No Empresariales y No Financieros, sin embargo, las estrategias implementadas para obtener mayores recursos lograron un incremento de $ 3,908,588,723 pesos, al presupuesto estimado para el periodo que se informa.</w:t>
      </w:r>
    </w:p>
    <w:p w14:paraId="535E3A55" w14:textId="77777777" w:rsidR="006D1CBA" w:rsidRPr="006D1CBA" w:rsidRDefault="006D1CBA" w:rsidP="006D1CBA">
      <w:pPr>
        <w:jc w:val="both"/>
        <w:outlineLvl w:val="0"/>
        <w:rPr>
          <w:rFonts w:eastAsia="Calibri" w:cs="Times New Roman"/>
          <w:iCs w:val="0"/>
          <w:szCs w:val="22"/>
          <w:lang w:val="es-MX" w:eastAsia="en-US"/>
        </w:rPr>
      </w:pPr>
    </w:p>
    <w:p w14:paraId="60F0A798"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Los ingresos recaudados durante el periodo del 1 de enero al 30 de junio de 2024 ascendieron a la cantidad de $ 14,110,962,116 pesos, representando un avance del 53.6 %, respecto al programado para el periodo que se informa.</w:t>
      </w:r>
    </w:p>
    <w:p w14:paraId="0B5A4E76" w14:textId="77777777" w:rsidR="006D1CBA" w:rsidRPr="006D1CBA" w:rsidRDefault="006D1CBA" w:rsidP="006D1CBA">
      <w:pPr>
        <w:jc w:val="both"/>
        <w:outlineLvl w:val="0"/>
        <w:rPr>
          <w:rFonts w:eastAsia="Calibri" w:cs="Times New Roman"/>
          <w:iCs w:val="0"/>
          <w:szCs w:val="22"/>
          <w:lang w:val="es-MX" w:eastAsia="en-US"/>
        </w:rPr>
      </w:pPr>
    </w:p>
    <w:p w14:paraId="2280A8FC"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Los ingresos principales fueron derivados de las ministraciones radicadas del Gobierno Estatal reflejadas en el rubro de participaciones y aportaciones, convenios, incentivos derivados de la colaboración fiscal y fondos distintos de aportaciones que alcanzó un monto de  $ 8,155,253,865 pesos en diferentes fuentes de financiamiento con recursos del ejercicio, contribuyendo con el 57.8 % de los ingresos registrados; asimismo transferencias, asignaciones, subsidios y subvenciones, y pensiones y jubilaciones por $ 5,931,150,149 pesos, con el 42 % del total de ingresos recaudados.</w:t>
      </w:r>
    </w:p>
    <w:p w14:paraId="3CDF9427" w14:textId="77777777" w:rsidR="006D1CBA" w:rsidRPr="006D1CBA" w:rsidRDefault="006D1CBA" w:rsidP="006D1CBA">
      <w:pPr>
        <w:jc w:val="both"/>
        <w:outlineLvl w:val="0"/>
        <w:rPr>
          <w:rFonts w:eastAsia="Calibri" w:cs="Times New Roman"/>
          <w:iCs w:val="0"/>
          <w:szCs w:val="22"/>
          <w:lang w:val="es-MX" w:eastAsia="en-US"/>
        </w:rPr>
      </w:pPr>
    </w:p>
    <w:p w14:paraId="68437661"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 xml:space="preserve">A continuación, se presenta el estado analítico de ingresos presupuestarios de acuerdo de la clasificación indicada en las notas de memoria de los estados financieros emitidos por el </w:t>
      </w:r>
      <w:proofErr w:type="spellStart"/>
      <w:r w:rsidRPr="006D1CBA">
        <w:rPr>
          <w:rFonts w:eastAsia="Calibri" w:cs="Times New Roman"/>
          <w:iCs w:val="0"/>
          <w:szCs w:val="22"/>
          <w:lang w:val="es-MX" w:eastAsia="en-US"/>
        </w:rPr>
        <w:t>Conac</w:t>
      </w:r>
      <w:proofErr w:type="spellEnd"/>
      <w:r w:rsidRPr="006D1CBA">
        <w:rPr>
          <w:rFonts w:eastAsia="Calibri" w:cs="Times New Roman"/>
          <w:iCs w:val="0"/>
          <w:szCs w:val="22"/>
          <w:lang w:val="es-MX" w:eastAsia="en-US"/>
        </w:rPr>
        <w:t>.</w:t>
      </w:r>
    </w:p>
    <w:p w14:paraId="7F215BC0" w14:textId="77777777" w:rsidR="006D1CBA" w:rsidRPr="006D1CBA" w:rsidRDefault="006D1CBA" w:rsidP="006D1CBA">
      <w:pPr>
        <w:jc w:val="both"/>
        <w:outlineLvl w:val="0"/>
        <w:rPr>
          <w:rFonts w:eastAsia="Calibri" w:cs="Times New Roman"/>
          <w:iCs w:val="0"/>
          <w:szCs w:val="22"/>
          <w:lang w:val="es-MX" w:eastAsia="en-US"/>
        </w:rPr>
      </w:pPr>
    </w:p>
    <w:p w14:paraId="3DC9BFE6" w14:textId="77777777" w:rsidR="006D1CBA" w:rsidRPr="006D1CBA" w:rsidRDefault="006D1CBA" w:rsidP="006D1CBA">
      <w:pPr>
        <w:jc w:val="center"/>
        <w:rPr>
          <w:rFonts w:eastAsia="Calibri" w:cs="Times New Roman"/>
          <w:bCs/>
          <w:iCs w:val="0"/>
          <w:szCs w:val="22"/>
          <w:lang w:val="es-MX" w:eastAsia="en-US"/>
        </w:rPr>
      </w:pPr>
      <w:r w:rsidRPr="006D1CBA">
        <w:rPr>
          <w:rFonts w:eastAsia="Calibri" w:cs="Times New Roman"/>
          <w:iCs w:val="0"/>
          <w:szCs w:val="22"/>
          <w:lang w:val="es-MX" w:eastAsia="en-US"/>
        </w:rPr>
        <w:lastRenderedPageBreak/>
        <w:drawing>
          <wp:inline distT="0" distB="0" distL="0" distR="0" wp14:anchorId="1DCD6582" wp14:editId="6BBBF07C">
            <wp:extent cx="6403975" cy="2569210"/>
            <wp:effectExtent l="0" t="0" r="0" b="2540"/>
            <wp:docPr id="1904501771" name="Imagen 190450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3975" cy="2569210"/>
                    </a:xfrm>
                    <a:prstGeom prst="rect">
                      <a:avLst/>
                    </a:prstGeom>
                    <a:noFill/>
                    <a:ln>
                      <a:noFill/>
                    </a:ln>
                  </pic:spPr>
                </pic:pic>
              </a:graphicData>
            </a:graphic>
          </wp:inline>
        </w:drawing>
      </w:r>
    </w:p>
    <w:p w14:paraId="7FD3AACD" w14:textId="77777777" w:rsidR="006D1CBA" w:rsidRPr="006D1CBA" w:rsidRDefault="006D1CBA" w:rsidP="006D1CBA">
      <w:pPr>
        <w:numPr>
          <w:ilvl w:val="1"/>
          <w:numId w:val="0"/>
        </w:numPr>
        <w:jc w:val="both"/>
        <w:rPr>
          <w:rFonts w:eastAsia="Calibri" w:cs="Times New Roman"/>
          <w:b/>
          <w:i/>
          <w:iCs w:val="0"/>
          <w:szCs w:val="22"/>
          <w:lang w:val="es-MX" w:eastAsia="en-US"/>
        </w:rPr>
      </w:pPr>
    </w:p>
    <w:p w14:paraId="764C68EA" w14:textId="77777777" w:rsidR="006D1CBA" w:rsidRPr="006D1CBA" w:rsidRDefault="006D1CBA" w:rsidP="006D1CBA">
      <w:pPr>
        <w:numPr>
          <w:ilvl w:val="1"/>
          <w:numId w:val="0"/>
        </w:numPr>
        <w:jc w:val="both"/>
        <w:rPr>
          <w:rFonts w:eastAsia="Calibri" w:cs="Times New Roman"/>
          <w:b/>
          <w:i/>
          <w:iCs w:val="0"/>
          <w:szCs w:val="22"/>
          <w:lang w:val="es-MX" w:eastAsia="en-US"/>
        </w:rPr>
      </w:pPr>
    </w:p>
    <w:p w14:paraId="6C61CF51"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t>Cuentas de egresos</w:t>
      </w:r>
    </w:p>
    <w:p w14:paraId="7F5B4F6E" w14:textId="77777777" w:rsidR="006D1CBA" w:rsidRPr="006D1CBA" w:rsidRDefault="006D1CBA" w:rsidP="006D1CBA">
      <w:pPr>
        <w:jc w:val="both"/>
        <w:outlineLvl w:val="0"/>
        <w:rPr>
          <w:rFonts w:eastAsia="Calibri" w:cs="Times New Roman"/>
          <w:iCs w:val="0"/>
          <w:szCs w:val="22"/>
          <w:lang w:val="es-MX" w:eastAsia="en-US"/>
        </w:rPr>
      </w:pPr>
    </w:p>
    <w:p w14:paraId="6D033CA6" w14:textId="77777777" w:rsidR="006D1CBA" w:rsidRPr="006D1CBA" w:rsidRDefault="006D1CBA" w:rsidP="006D1CBA">
      <w:pPr>
        <w:jc w:val="both"/>
        <w:outlineLvl w:val="0"/>
        <w:rPr>
          <w:rFonts w:eastAsia="Calibri" w:cs="Times New Roman"/>
          <w:b/>
          <w:bCs/>
          <w:iCs w:val="0"/>
          <w:szCs w:val="22"/>
          <w:lang w:val="es-MX" w:eastAsia="en-US"/>
        </w:rPr>
      </w:pPr>
      <w:r w:rsidRPr="006D1CBA">
        <w:rPr>
          <w:rFonts w:eastAsia="Calibri" w:cs="Times New Roman"/>
          <w:iCs w:val="0"/>
          <w:szCs w:val="22"/>
          <w:lang w:val="es-MX" w:eastAsia="en-US"/>
        </w:rPr>
        <w:t>El estado del ejercicio del presupuesto de egresos, refleja al 30 de junio de 2024, una modificación neta positiva al Presupuesto Aprobado Anual de $ 6,831,188,722 pesos representando un 26 % mayor, llegando a un monto de $ 33,127,322,464 pesos.</w:t>
      </w:r>
    </w:p>
    <w:p w14:paraId="303A98BA" w14:textId="77777777" w:rsidR="006D1CBA" w:rsidRPr="006D1CBA" w:rsidRDefault="006D1CBA" w:rsidP="006D1CBA">
      <w:pPr>
        <w:jc w:val="both"/>
        <w:outlineLvl w:val="0"/>
        <w:rPr>
          <w:rFonts w:eastAsia="Calibri" w:cs="Times New Roman"/>
          <w:iCs w:val="0"/>
          <w:szCs w:val="22"/>
          <w:lang w:val="es-MX" w:eastAsia="en-US"/>
        </w:rPr>
      </w:pPr>
    </w:p>
    <w:p w14:paraId="5301EB1D" w14:textId="77777777" w:rsidR="006D1CBA" w:rsidRPr="006D1CBA" w:rsidRDefault="006D1CBA" w:rsidP="006D1CBA">
      <w:pPr>
        <w:jc w:val="both"/>
        <w:outlineLvl w:val="0"/>
        <w:rPr>
          <w:rFonts w:eastAsia="Calibri" w:cs="Times New Roman"/>
          <w:iCs w:val="0"/>
          <w:szCs w:val="22"/>
          <w:lang w:val="es-MX" w:eastAsia="en-US"/>
        </w:rPr>
      </w:pPr>
      <w:r w:rsidRPr="006D1CBA">
        <w:rPr>
          <w:rFonts w:eastAsia="Calibri" w:cs="Times New Roman"/>
          <w:iCs w:val="0"/>
          <w:szCs w:val="22"/>
          <w:lang w:val="es-MX" w:eastAsia="en-US"/>
        </w:rPr>
        <w:t>El presupuesto devengado a la fecha que se informa fue de $  10,257,252,073 pesos que representa el 39 % de los recursos programados al inicio del ejercicio; de los cuales se aplicaron $ 4,138,481,393 pesos en servicios personales, equivalente al 40.3 % del devengo total; así como servicios generales refleja la cantidad de $ 2,932,393,813 pesos representando el 28.6 % del devengo total; así también la cantidad de $ 1,859,453,761 pesos en inversión pública equivalente al 18.1 % del devengado total y finalmente en materiales y suministros por  $ 608,233,129 pesos con 5.9 % del total devengado, entre los rubros más sobresalientes.</w:t>
      </w:r>
    </w:p>
    <w:p w14:paraId="0BA5A5AF" w14:textId="77777777" w:rsidR="006D1CBA" w:rsidRPr="006D1CBA" w:rsidRDefault="006D1CBA" w:rsidP="006D1CBA">
      <w:pPr>
        <w:jc w:val="both"/>
        <w:outlineLvl w:val="0"/>
        <w:rPr>
          <w:rFonts w:eastAsia="Calibri" w:cs="Times New Roman"/>
          <w:b/>
          <w:bCs/>
          <w:iCs w:val="0"/>
          <w:szCs w:val="22"/>
          <w:lang w:val="es-MX" w:eastAsia="en-US"/>
        </w:rPr>
      </w:pPr>
    </w:p>
    <w:p w14:paraId="6CD1DE7F" w14:textId="77777777" w:rsidR="006D1CBA" w:rsidRPr="006D1CBA" w:rsidRDefault="006D1CBA" w:rsidP="006D1CBA">
      <w:pPr>
        <w:jc w:val="center"/>
        <w:outlineLvl w:val="0"/>
        <w:rPr>
          <w:rFonts w:eastAsia="Calibri" w:cs="Times New Roman"/>
          <w:b/>
          <w:bCs/>
          <w:iCs w:val="0"/>
          <w:szCs w:val="22"/>
          <w:lang w:val="es-MX" w:eastAsia="en-US"/>
        </w:rPr>
      </w:pPr>
      <w:r w:rsidRPr="006D1CBA">
        <w:rPr>
          <w:rFonts w:eastAsia="Calibri" w:cs="Times New Roman"/>
          <w:iCs w:val="0"/>
          <w:szCs w:val="22"/>
          <w:lang w:val="es-MX" w:eastAsia="en-US"/>
        </w:rPr>
        <w:drawing>
          <wp:inline distT="0" distB="0" distL="0" distR="0" wp14:anchorId="2405B118" wp14:editId="0967BCDD">
            <wp:extent cx="6403975" cy="2672715"/>
            <wp:effectExtent l="0" t="0" r="0" b="0"/>
            <wp:docPr id="1904501772" name="Imagen 190450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3975" cy="2672715"/>
                    </a:xfrm>
                    <a:prstGeom prst="rect">
                      <a:avLst/>
                    </a:prstGeom>
                    <a:noFill/>
                    <a:ln>
                      <a:noFill/>
                    </a:ln>
                  </pic:spPr>
                </pic:pic>
              </a:graphicData>
            </a:graphic>
          </wp:inline>
        </w:drawing>
      </w:r>
    </w:p>
    <w:p w14:paraId="4A51A99E" w14:textId="77777777" w:rsidR="006D1CBA" w:rsidRPr="006D1CBA" w:rsidRDefault="006D1CBA" w:rsidP="006D1CBA">
      <w:pPr>
        <w:jc w:val="both"/>
        <w:outlineLvl w:val="0"/>
        <w:rPr>
          <w:rFonts w:eastAsia="Calibri" w:cs="Times New Roman"/>
          <w:b/>
          <w:bCs/>
          <w:iCs w:val="0"/>
          <w:szCs w:val="22"/>
          <w:lang w:val="es-MX" w:eastAsia="en-US"/>
        </w:rPr>
      </w:pPr>
    </w:p>
    <w:p w14:paraId="39E4F96D" w14:textId="77777777" w:rsidR="006D1CBA" w:rsidRPr="006D1CBA" w:rsidRDefault="006D1CBA" w:rsidP="006D1CBA">
      <w:pPr>
        <w:jc w:val="both"/>
        <w:rPr>
          <w:rFonts w:eastAsia="Calibri" w:cs="Times New Roman"/>
          <w:b/>
          <w:bCs/>
          <w:szCs w:val="22"/>
          <w:lang w:val="es-MX" w:eastAsia="en-US"/>
        </w:rPr>
      </w:pPr>
      <w:bookmarkStart w:id="4" w:name="_Hlk125467774"/>
    </w:p>
    <w:p w14:paraId="20419B13"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br w:type="page"/>
      </w:r>
    </w:p>
    <w:p w14:paraId="0FE6DE87" w14:textId="77777777" w:rsidR="006D1CBA" w:rsidRPr="006D1CBA" w:rsidRDefault="006D1CBA" w:rsidP="006D1CBA">
      <w:pPr>
        <w:jc w:val="both"/>
        <w:rPr>
          <w:rFonts w:eastAsia="Calibri" w:cs="Times New Roman"/>
          <w:b/>
          <w:bCs/>
          <w:szCs w:val="22"/>
          <w:lang w:val="es-MX" w:eastAsia="en-US"/>
        </w:rPr>
      </w:pPr>
      <w:r w:rsidRPr="006D1CBA">
        <w:rPr>
          <w:rFonts w:eastAsia="Calibri" w:cs="Times New Roman"/>
          <w:b/>
          <w:bCs/>
          <w:iCs w:val="0"/>
          <w:szCs w:val="22"/>
          <w:lang w:val="es-MX" w:eastAsia="en-US"/>
        </w:rPr>
        <w:lastRenderedPageBreak/>
        <w:t>Razones financieras</w:t>
      </w:r>
    </w:p>
    <w:p w14:paraId="26F3A47B" w14:textId="77777777" w:rsidR="006D1CBA" w:rsidRPr="006D1CBA" w:rsidRDefault="006D1CBA" w:rsidP="006D1CBA">
      <w:pPr>
        <w:tabs>
          <w:tab w:val="left" w:pos="5280"/>
        </w:tabs>
        <w:jc w:val="both"/>
        <w:rPr>
          <w:rFonts w:eastAsia="Calibri" w:cs="Times New Roman"/>
          <w:iCs w:val="0"/>
          <w:szCs w:val="22"/>
          <w:lang w:val="es-MX" w:eastAsia="en-US"/>
        </w:rPr>
      </w:pPr>
    </w:p>
    <w:bookmarkEnd w:id="4"/>
    <w:p w14:paraId="6BF9C871"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r w:rsidRPr="006D1CBA">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30 de junio del ejercicio 2024, se aplicaron las siguientes razones financieras:</w:t>
      </w:r>
    </w:p>
    <w:p w14:paraId="688B7502" w14:textId="77777777" w:rsidR="006D1CBA" w:rsidRPr="006D1CBA" w:rsidRDefault="006D1CBA" w:rsidP="006D1CBA">
      <w:pPr>
        <w:autoSpaceDE w:val="0"/>
        <w:autoSpaceDN w:val="0"/>
        <w:adjustRightInd w:val="0"/>
        <w:jc w:val="both"/>
        <w:outlineLvl w:val="0"/>
        <w:rPr>
          <w:rFonts w:eastAsia="Calibri" w:cs="Times New Roman"/>
          <w:bCs/>
          <w:iCs w:val="0"/>
          <w:szCs w:val="22"/>
          <w:lang w:val="es-MX" w:eastAsia="en-US"/>
        </w:rPr>
      </w:pPr>
    </w:p>
    <w:p w14:paraId="4914C589" w14:textId="77777777" w:rsidR="006D1CBA" w:rsidRPr="006D1CBA" w:rsidRDefault="006D1CBA" w:rsidP="006D1CBA">
      <w:pPr>
        <w:autoSpaceDE w:val="0"/>
        <w:autoSpaceDN w:val="0"/>
        <w:adjustRightInd w:val="0"/>
        <w:jc w:val="center"/>
        <w:outlineLvl w:val="0"/>
        <w:rPr>
          <w:rFonts w:eastAsia="Calibri" w:cs="Times New Roman"/>
          <w:b/>
          <w:bCs/>
          <w:iCs w:val="0"/>
          <w:szCs w:val="22"/>
          <w:lang w:val="es-MX" w:eastAsia="en-US"/>
        </w:rPr>
      </w:pPr>
      <w:r w:rsidRPr="006D1CBA">
        <w:rPr>
          <w:rFonts w:eastAsia="Calibri" w:cs="Times New Roman"/>
          <w:iCs w:val="0"/>
          <w:szCs w:val="22"/>
          <w:lang w:val="es-MX" w:eastAsia="en-US"/>
        </w:rPr>
        <w:drawing>
          <wp:inline distT="0" distB="0" distL="0" distR="0" wp14:anchorId="6BC52746" wp14:editId="0580A317">
            <wp:extent cx="6403975" cy="2393950"/>
            <wp:effectExtent l="0" t="0" r="0" b="6350"/>
            <wp:docPr id="1904501773" name="Imagen 190450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3975" cy="2393950"/>
                    </a:xfrm>
                    <a:prstGeom prst="rect">
                      <a:avLst/>
                    </a:prstGeom>
                    <a:noFill/>
                    <a:ln>
                      <a:noFill/>
                    </a:ln>
                  </pic:spPr>
                </pic:pic>
              </a:graphicData>
            </a:graphic>
          </wp:inline>
        </w:drawing>
      </w:r>
    </w:p>
    <w:p w14:paraId="3CEB039E" w14:textId="77777777" w:rsidR="006D1CBA" w:rsidRPr="006D1CBA" w:rsidRDefault="006D1CBA" w:rsidP="006D1CBA">
      <w:pPr>
        <w:autoSpaceDE w:val="0"/>
        <w:autoSpaceDN w:val="0"/>
        <w:adjustRightInd w:val="0"/>
        <w:jc w:val="both"/>
        <w:outlineLvl w:val="0"/>
        <w:rPr>
          <w:rFonts w:eastAsia="Calibri" w:cs="Times New Roman"/>
          <w:bCs/>
          <w:iCs w:val="0"/>
          <w:szCs w:val="22"/>
          <w:lang w:val="es-MX" w:eastAsia="en-US"/>
        </w:rPr>
      </w:pPr>
    </w:p>
    <w:p w14:paraId="1EF69EFD" w14:textId="77777777" w:rsidR="006D1CBA" w:rsidRPr="006D1CBA" w:rsidRDefault="006D1CBA" w:rsidP="006D1CBA">
      <w:pPr>
        <w:autoSpaceDE w:val="0"/>
        <w:autoSpaceDN w:val="0"/>
        <w:adjustRightInd w:val="0"/>
        <w:jc w:val="both"/>
        <w:outlineLvl w:val="0"/>
        <w:rPr>
          <w:rFonts w:eastAsia="Calibri" w:cs="Times New Roman"/>
          <w:bCs/>
          <w:iCs w:val="0"/>
          <w:szCs w:val="22"/>
          <w:lang w:val="es-MX" w:eastAsia="en-US"/>
        </w:rPr>
      </w:pPr>
    </w:p>
    <w:p w14:paraId="763E1A89"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r w:rsidRPr="006D1CBA">
        <w:rPr>
          <w:rFonts w:eastAsia="Calibri" w:cs="Times New Roman"/>
          <w:iCs w:val="0"/>
          <w:szCs w:val="22"/>
          <w:lang w:val="es-MX" w:eastAsia="en-US"/>
        </w:rPr>
        <w:t xml:space="preserve">Los estados financieros muestran un resultado de $ 2.1 pesos de </w:t>
      </w:r>
      <w:r w:rsidRPr="006D1CBA">
        <w:rPr>
          <w:rFonts w:eastAsia="Calibri" w:cs="Times New Roman"/>
          <w:b/>
          <w:iCs w:val="0"/>
          <w:szCs w:val="22"/>
          <w:lang w:val="es-MX" w:eastAsia="en-US"/>
        </w:rPr>
        <w:t>liquidez y disponibilidad inmediata</w:t>
      </w:r>
      <w:r w:rsidRPr="006D1CBA">
        <w:rPr>
          <w:rFonts w:eastAsia="Calibri" w:cs="Times New Roman"/>
          <w:iCs w:val="0"/>
          <w:szCs w:val="22"/>
          <w:lang w:val="es-MX" w:eastAsia="en-US"/>
        </w:rPr>
        <w:t xml:space="preserve"> para hacer frente a cada peso de los compromisos a corto plazo. </w:t>
      </w:r>
    </w:p>
    <w:p w14:paraId="478CF6AD"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p>
    <w:p w14:paraId="05E01CE6"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r w:rsidRPr="006D1CBA">
        <w:rPr>
          <w:rFonts w:eastAsia="Calibri" w:cs="Times New Roman"/>
          <w:iCs w:val="0"/>
          <w:szCs w:val="22"/>
          <w:lang w:val="es-MX" w:eastAsia="en-US"/>
        </w:rPr>
        <w:t xml:space="preserve">La razón de </w:t>
      </w:r>
      <w:r w:rsidRPr="006D1CBA">
        <w:rPr>
          <w:rFonts w:eastAsia="Calibri" w:cs="Times New Roman"/>
          <w:b/>
          <w:iCs w:val="0"/>
          <w:szCs w:val="22"/>
          <w:lang w:val="es-MX" w:eastAsia="en-US"/>
        </w:rPr>
        <w:t>solvencia</w:t>
      </w:r>
      <w:r w:rsidRPr="006D1CBA">
        <w:rPr>
          <w:rFonts w:eastAsia="Calibri" w:cs="Times New Roman"/>
          <w:iCs w:val="0"/>
          <w:szCs w:val="22"/>
          <w:lang w:val="es-MX" w:eastAsia="en-US"/>
        </w:rPr>
        <w:t xml:space="preserve"> muestra que las entidades cuentan con $ 2.4 pesos para cubrir cada peso que debe por sus compromisos a corto plazo. </w:t>
      </w:r>
    </w:p>
    <w:p w14:paraId="01C15310"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p>
    <w:p w14:paraId="709C466E"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r w:rsidRPr="006D1CBA">
        <w:rPr>
          <w:rFonts w:eastAsia="Calibri" w:cs="Times New Roman"/>
          <w:iCs w:val="0"/>
          <w:szCs w:val="22"/>
          <w:lang w:val="es-MX" w:eastAsia="en-US"/>
        </w:rPr>
        <w:t>La</w:t>
      </w:r>
      <w:r w:rsidRPr="006D1CBA">
        <w:rPr>
          <w:rFonts w:eastAsia="Calibri" w:cs="Times New Roman"/>
          <w:b/>
          <w:iCs w:val="0"/>
          <w:szCs w:val="22"/>
          <w:lang w:val="es-MX" w:eastAsia="en-US"/>
        </w:rPr>
        <w:t xml:space="preserve"> prueba del ácido</w:t>
      </w:r>
      <w:r w:rsidRPr="006D1CBA">
        <w:rPr>
          <w:rFonts w:eastAsia="Calibri" w:cs="Times New Roman"/>
          <w:iCs w:val="0"/>
          <w:szCs w:val="22"/>
          <w:lang w:val="es-MX" w:eastAsia="en-US"/>
        </w:rPr>
        <w:t xml:space="preserve"> indica que las entidades cuentan con $ 2.4 pesos de activos de conversión inmediata en efectivo por cada peso de pasivos a corto plazo. </w:t>
      </w:r>
    </w:p>
    <w:p w14:paraId="3646DDF4"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p>
    <w:p w14:paraId="57BDAB16"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r w:rsidRPr="006D1CBA">
        <w:rPr>
          <w:rFonts w:eastAsia="Calibri" w:cs="Times New Roman"/>
          <w:iCs w:val="0"/>
          <w:szCs w:val="22"/>
          <w:lang w:val="es-MX" w:eastAsia="en-US"/>
        </w:rPr>
        <w:t xml:space="preserve">La posición financiera que guardan las </w:t>
      </w:r>
      <w:r w:rsidRPr="006D1CBA">
        <w:rPr>
          <w:rFonts w:eastAsia="Calibri" w:cs="Times New Roman"/>
          <w:bCs/>
          <w:iCs w:val="0"/>
          <w:szCs w:val="22"/>
          <w:lang w:val="es-MX" w:eastAsia="en-US"/>
        </w:rPr>
        <w:t>Entidades Paraestatales y Fideicomisos No Empresariales y No Financieros</w:t>
      </w:r>
      <w:r w:rsidRPr="006D1CBA">
        <w:rPr>
          <w:rFonts w:eastAsia="Calibri" w:cs="Times New Roman"/>
          <w:iCs w:val="0"/>
          <w:szCs w:val="22"/>
          <w:lang w:val="es-MX" w:eastAsia="en-US"/>
        </w:rPr>
        <w:t xml:space="preserve"> muestra los ingresos y egresos al 30 de junio del ejercicio 2024, toda vez que los saldos de los pasivos se han mantenido en niveles saludables y en equilibrio de la recaudación de ingresos.</w:t>
      </w:r>
    </w:p>
    <w:p w14:paraId="225955D8"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p>
    <w:p w14:paraId="583EF3B1" w14:textId="77777777" w:rsidR="006D1CBA" w:rsidRPr="006D1CBA" w:rsidRDefault="006D1CBA" w:rsidP="006D1CBA">
      <w:pPr>
        <w:autoSpaceDE w:val="0"/>
        <w:autoSpaceDN w:val="0"/>
        <w:adjustRightInd w:val="0"/>
        <w:jc w:val="both"/>
        <w:outlineLvl w:val="0"/>
        <w:rPr>
          <w:rFonts w:eastAsia="Calibri" w:cs="Times New Roman"/>
          <w:iCs w:val="0"/>
          <w:szCs w:val="22"/>
          <w:lang w:val="es-MX" w:eastAsia="en-US"/>
        </w:rPr>
      </w:pPr>
      <w:r w:rsidRPr="006D1CBA">
        <w:rPr>
          <w:rFonts w:eastAsia="Calibri" w:cs="Times New Roman"/>
          <w:iCs w:val="0"/>
          <w:szCs w:val="22"/>
          <w:lang w:val="es-MX" w:eastAsia="en-US"/>
        </w:rPr>
        <w:t>En conclusión, las obligaciones que se tienen a corto plazo, son cubiertas en su totalidad de los activos.</w:t>
      </w:r>
    </w:p>
    <w:p w14:paraId="0217BE4C" w14:textId="77777777" w:rsidR="006D1CBA" w:rsidRPr="006D1CBA" w:rsidRDefault="006D1CBA" w:rsidP="006D1CBA">
      <w:pPr>
        <w:jc w:val="both"/>
        <w:rPr>
          <w:rFonts w:eastAsia="Calibri" w:cs="Times New Roman"/>
          <w:iCs w:val="0"/>
          <w:szCs w:val="22"/>
          <w:lang w:val="es-MX" w:eastAsia="en-US"/>
        </w:rPr>
      </w:pPr>
      <w:r w:rsidRPr="006D1CBA">
        <w:rPr>
          <w:rFonts w:eastAsia="Calibri" w:cs="Times New Roman"/>
          <w:iCs w:val="0"/>
          <w:szCs w:val="22"/>
          <w:lang w:val="es-MX" w:eastAsia="en-US"/>
        </w:rPr>
        <w:br w:type="page"/>
      </w:r>
    </w:p>
    <w:p w14:paraId="63EC19C9" w14:textId="77777777" w:rsidR="006D1CBA" w:rsidRPr="006D1CBA" w:rsidRDefault="006D1CBA" w:rsidP="006D1CBA">
      <w:pPr>
        <w:keepNext/>
        <w:keepLines/>
        <w:jc w:val="both"/>
        <w:outlineLvl w:val="0"/>
        <w:rPr>
          <w:rFonts w:eastAsia="Calibri" w:cs="Times New Roman"/>
          <w:b/>
          <w:color w:val="9E213D"/>
          <w:sz w:val="28"/>
          <w:szCs w:val="32"/>
          <w:lang w:val="es-MX" w:eastAsia="en-US"/>
        </w:rPr>
      </w:pPr>
      <w:bookmarkStart w:id="5" w:name="_Hlk125467787"/>
      <w:r w:rsidRPr="006D1CBA">
        <w:rPr>
          <w:rFonts w:eastAsia="Calibri" w:cs="Times New Roman"/>
          <w:b/>
          <w:iCs w:val="0"/>
          <w:color w:val="9E213D"/>
          <w:sz w:val="28"/>
          <w:szCs w:val="32"/>
          <w:lang w:val="es-MX" w:eastAsia="en-US"/>
        </w:rPr>
        <w:lastRenderedPageBreak/>
        <w:t>Reporte analítico del activo no circulante</w:t>
      </w:r>
    </w:p>
    <w:p w14:paraId="73A62C5B" w14:textId="77777777" w:rsidR="006D1CBA" w:rsidRPr="006D1CBA" w:rsidRDefault="006D1CBA" w:rsidP="006D1CBA">
      <w:pPr>
        <w:widowControl w:val="0"/>
        <w:jc w:val="both"/>
        <w:rPr>
          <w:rFonts w:eastAsia="Calibri" w:cs="Times New Roman"/>
          <w:iCs w:val="0"/>
          <w:szCs w:val="22"/>
          <w:lang w:val="es-MX" w:eastAsia="en-US"/>
        </w:rPr>
      </w:pPr>
    </w:p>
    <w:bookmarkEnd w:id="5"/>
    <w:p w14:paraId="490084F6" w14:textId="77777777" w:rsidR="006D1CBA" w:rsidRPr="006D1CBA" w:rsidRDefault="006D1CBA" w:rsidP="006D1CBA">
      <w:pPr>
        <w:widowControl w:val="0"/>
        <w:jc w:val="both"/>
        <w:rPr>
          <w:rFonts w:eastAsia="Calibri" w:cs="Times New Roman"/>
          <w:iCs w:val="0"/>
          <w:szCs w:val="22"/>
          <w:lang w:val="es-MX" w:eastAsia="en-US"/>
        </w:rPr>
      </w:pPr>
      <w:r w:rsidRPr="006D1CBA">
        <w:rPr>
          <w:rFonts w:eastAsia="Calibri" w:cs="Times New Roman"/>
          <w:iCs w:val="0"/>
          <w:szCs w:val="22"/>
          <w:lang w:val="es-MX" w:eastAsia="en-US"/>
        </w:rPr>
        <w:t>A continuación, se presentan los saldos por tipo de activo no circulante registrado en los estados financieros consolidados al periodo que se informa. Este reporte muestra el total de las adquisiciones que cada uno de los entes públicos integran su patrimonio.</w:t>
      </w:r>
    </w:p>
    <w:p w14:paraId="33F9AC68" w14:textId="77777777" w:rsidR="006D1CBA" w:rsidRPr="006D1CBA" w:rsidRDefault="006D1CBA" w:rsidP="006D1CBA">
      <w:pPr>
        <w:widowControl w:val="0"/>
        <w:jc w:val="both"/>
        <w:rPr>
          <w:rFonts w:eastAsia="Calibri" w:cs="Times New Roman"/>
          <w:iCs w:val="0"/>
          <w:szCs w:val="22"/>
          <w:lang w:val="es-MX" w:eastAsia="en-US"/>
        </w:rPr>
      </w:pPr>
    </w:p>
    <w:p w14:paraId="0C57DFDC" w14:textId="77777777" w:rsidR="006D1CBA" w:rsidRPr="006D1CBA" w:rsidRDefault="006D1CBA" w:rsidP="006D1CBA">
      <w:pPr>
        <w:widowControl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32FD6A2B" wp14:editId="3EDED208">
            <wp:extent cx="6403975" cy="2822575"/>
            <wp:effectExtent l="0" t="0" r="0" b="0"/>
            <wp:docPr id="1904501774" name="Imagen 190450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3975" cy="2822575"/>
                    </a:xfrm>
                    <a:prstGeom prst="rect">
                      <a:avLst/>
                    </a:prstGeom>
                    <a:noFill/>
                    <a:ln>
                      <a:noFill/>
                    </a:ln>
                  </pic:spPr>
                </pic:pic>
              </a:graphicData>
            </a:graphic>
          </wp:inline>
        </w:drawing>
      </w:r>
    </w:p>
    <w:p w14:paraId="2233B8BD" w14:textId="77777777" w:rsidR="006D1CBA" w:rsidRPr="006D1CBA" w:rsidRDefault="006D1CBA" w:rsidP="006D1CBA">
      <w:pPr>
        <w:widowControl w:val="0"/>
        <w:jc w:val="center"/>
        <w:rPr>
          <w:rFonts w:eastAsia="Calibri" w:cs="Times New Roman"/>
          <w:iCs w:val="0"/>
          <w:szCs w:val="22"/>
          <w:lang w:val="es-MX" w:eastAsia="en-US"/>
        </w:rPr>
      </w:pPr>
    </w:p>
    <w:p w14:paraId="3542FEE1" w14:textId="77777777" w:rsidR="006D1CBA" w:rsidRPr="006D1CBA" w:rsidRDefault="006D1CBA" w:rsidP="006D1CBA">
      <w:pPr>
        <w:widowControl w:val="0"/>
        <w:jc w:val="center"/>
        <w:rPr>
          <w:rFonts w:eastAsia="Calibri" w:cs="Times New Roman"/>
          <w:iCs w:val="0"/>
          <w:szCs w:val="22"/>
          <w:lang w:val="es-MX" w:eastAsia="en-US"/>
        </w:rPr>
      </w:pPr>
    </w:p>
    <w:p w14:paraId="2EA48F93" w14:textId="77777777" w:rsidR="006D1CBA" w:rsidRPr="006D1CBA" w:rsidRDefault="006D1CBA" w:rsidP="006D1CBA">
      <w:pPr>
        <w:widowControl w:val="0"/>
        <w:jc w:val="center"/>
        <w:rPr>
          <w:rFonts w:eastAsia="Calibri" w:cs="Times New Roman"/>
          <w:iCs w:val="0"/>
          <w:szCs w:val="22"/>
          <w:lang w:val="es-MX" w:eastAsia="en-US"/>
        </w:rPr>
      </w:pPr>
      <w:r w:rsidRPr="006D1CBA">
        <w:rPr>
          <w:rFonts w:eastAsia="Calibri" w:cs="Times New Roman"/>
          <w:iCs w:val="0"/>
          <w:szCs w:val="22"/>
          <w:lang w:val="es-MX" w:eastAsia="en-US"/>
        </w:rPr>
        <w:drawing>
          <wp:inline distT="0" distB="0" distL="0" distR="0" wp14:anchorId="052C51A7" wp14:editId="104537DB">
            <wp:extent cx="6403975" cy="4565650"/>
            <wp:effectExtent l="0" t="0" r="0" b="0"/>
            <wp:docPr id="1904501775" name="Imagen 190450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3975" cy="4565650"/>
                    </a:xfrm>
                    <a:prstGeom prst="rect">
                      <a:avLst/>
                    </a:prstGeom>
                    <a:noFill/>
                    <a:ln>
                      <a:noFill/>
                    </a:ln>
                  </pic:spPr>
                </pic:pic>
              </a:graphicData>
            </a:graphic>
          </wp:inline>
        </w:drawing>
      </w:r>
    </w:p>
    <w:p w14:paraId="7A24D2E4" w14:textId="77777777" w:rsidR="006D1CBA" w:rsidRPr="006D1CBA" w:rsidRDefault="006D1CBA" w:rsidP="006D1CBA">
      <w:pPr>
        <w:jc w:val="center"/>
        <w:rPr>
          <w:rFonts w:eastAsia="Calibri" w:cs="Times New Roman"/>
          <w:iCs w:val="0"/>
          <w:noProof/>
          <w:szCs w:val="22"/>
          <w:lang w:val="es-MX" w:eastAsia="es-MX"/>
        </w:rPr>
      </w:pPr>
      <w:r w:rsidRPr="006D1CBA">
        <w:rPr>
          <w:rFonts w:eastAsia="Calibri" w:cs="Times New Roman"/>
          <w:iCs w:val="0"/>
          <w:szCs w:val="22"/>
          <w:lang w:val="es-MX" w:eastAsia="en-US"/>
        </w:rPr>
        <w:lastRenderedPageBreak/>
        <w:drawing>
          <wp:inline distT="0" distB="0" distL="0" distR="0" wp14:anchorId="4A7C8B46" wp14:editId="26F7D78B">
            <wp:extent cx="6403975" cy="3662680"/>
            <wp:effectExtent l="0" t="0" r="0" b="0"/>
            <wp:docPr id="1904501776" name="Imagen 190450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3975" cy="3662680"/>
                    </a:xfrm>
                    <a:prstGeom prst="rect">
                      <a:avLst/>
                    </a:prstGeom>
                    <a:noFill/>
                    <a:ln>
                      <a:noFill/>
                    </a:ln>
                  </pic:spPr>
                </pic:pic>
              </a:graphicData>
            </a:graphic>
          </wp:inline>
        </w:drawing>
      </w:r>
    </w:p>
    <w:p w14:paraId="71BB6285" w14:textId="77777777" w:rsidR="006D1CBA" w:rsidRPr="006D1CBA" w:rsidRDefault="006D1CBA" w:rsidP="006D1CBA">
      <w:pPr>
        <w:jc w:val="both"/>
        <w:rPr>
          <w:rFonts w:eastAsia="Calibri" w:cs="Times New Roman"/>
          <w:iCs w:val="0"/>
          <w:noProof/>
          <w:szCs w:val="22"/>
          <w:lang w:val="es-MX" w:eastAsia="es-MX"/>
        </w:rPr>
      </w:pPr>
    </w:p>
    <w:p w14:paraId="3CBF8586" w14:textId="77777777" w:rsidR="006D1CBA" w:rsidRPr="006D1CBA" w:rsidRDefault="006D1CBA" w:rsidP="006D1CBA">
      <w:pPr>
        <w:jc w:val="both"/>
        <w:rPr>
          <w:rFonts w:eastAsia="Calibri" w:cs="Times New Roman"/>
          <w:iCs w:val="0"/>
          <w:noProof/>
          <w:szCs w:val="22"/>
          <w:lang w:val="es-MX" w:eastAsia="es-MX"/>
        </w:rPr>
      </w:pPr>
    </w:p>
    <w:p w14:paraId="1A722D3D" w14:textId="77777777" w:rsidR="006D1CBA" w:rsidRPr="006D1CBA" w:rsidRDefault="006D1CBA" w:rsidP="006D1CBA">
      <w:pPr>
        <w:jc w:val="both"/>
        <w:rPr>
          <w:rFonts w:eastAsia="Calibri" w:cs="Times New Roman"/>
          <w:iCs w:val="0"/>
          <w:noProof/>
          <w:szCs w:val="22"/>
          <w:lang w:val="es-MX" w:eastAsia="es-MX"/>
        </w:rPr>
      </w:pPr>
    </w:p>
    <w:p w14:paraId="293E428C" w14:textId="77777777" w:rsidR="006D1CBA" w:rsidRPr="006D1CBA" w:rsidRDefault="006D1CBA" w:rsidP="006D1CBA">
      <w:pPr>
        <w:jc w:val="center"/>
        <w:rPr>
          <w:rFonts w:eastAsia="Calibri" w:cs="Times New Roman"/>
          <w:iCs w:val="0"/>
          <w:noProof/>
          <w:szCs w:val="22"/>
          <w:lang w:val="es-MX" w:eastAsia="es-MX"/>
        </w:rPr>
      </w:pPr>
      <w:r w:rsidRPr="006D1CBA">
        <w:rPr>
          <w:rFonts w:eastAsia="Calibri" w:cs="Times New Roman"/>
          <w:iCs w:val="0"/>
          <w:szCs w:val="22"/>
          <w:lang w:val="es-MX" w:eastAsia="en-US"/>
        </w:rPr>
        <w:drawing>
          <wp:inline distT="0" distB="0" distL="0" distR="0" wp14:anchorId="0D14C48B" wp14:editId="70C4C230">
            <wp:extent cx="6403975" cy="3922395"/>
            <wp:effectExtent l="0" t="0" r="0" b="0"/>
            <wp:docPr id="1904501778" name="Imagen 190450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3975" cy="3922395"/>
                    </a:xfrm>
                    <a:prstGeom prst="rect">
                      <a:avLst/>
                    </a:prstGeom>
                    <a:noFill/>
                    <a:ln>
                      <a:noFill/>
                    </a:ln>
                  </pic:spPr>
                </pic:pic>
              </a:graphicData>
            </a:graphic>
          </wp:inline>
        </w:drawing>
      </w:r>
    </w:p>
    <w:p w14:paraId="548BAFFA" w14:textId="77777777" w:rsidR="006D1CBA" w:rsidRPr="006D1CBA" w:rsidRDefault="006D1CBA" w:rsidP="006D1CBA">
      <w:pPr>
        <w:jc w:val="both"/>
        <w:rPr>
          <w:rFonts w:eastAsia="Calibri" w:cs="Times New Roman"/>
          <w:iCs w:val="0"/>
          <w:noProof/>
          <w:szCs w:val="22"/>
          <w:lang w:val="es-MX" w:eastAsia="es-MX"/>
        </w:rPr>
      </w:pPr>
    </w:p>
    <w:p w14:paraId="0DEAEFBA" w14:textId="77777777" w:rsidR="006D1CBA" w:rsidRPr="006D1CBA" w:rsidRDefault="006D1CBA" w:rsidP="006D1CBA">
      <w:pPr>
        <w:jc w:val="both"/>
        <w:rPr>
          <w:rFonts w:eastAsia="Calibri" w:cs="Times New Roman"/>
          <w:iCs w:val="0"/>
          <w:noProof/>
          <w:szCs w:val="22"/>
          <w:lang w:val="es-MX" w:eastAsia="es-MX"/>
        </w:rPr>
      </w:pPr>
    </w:p>
    <w:p w14:paraId="08FB6740" w14:textId="77777777" w:rsidR="006D1CBA" w:rsidRPr="006D1CBA" w:rsidRDefault="006D1CBA" w:rsidP="006D1CBA">
      <w:pPr>
        <w:jc w:val="both"/>
        <w:rPr>
          <w:rFonts w:eastAsia="Calibri" w:cs="Times New Roman"/>
          <w:iCs w:val="0"/>
          <w:noProof/>
          <w:szCs w:val="22"/>
          <w:lang w:val="es-MX" w:eastAsia="es-MX"/>
        </w:rPr>
      </w:pPr>
    </w:p>
    <w:p w14:paraId="2FB4A9F7" w14:textId="77777777" w:rsidR="006D1CBA" w:rsidRPr="006D1CBA" w:rsidRDefault="006D1CBA" w:rsidP="006D1CBA">
      <w:pPr>
        <w:jc w:val="center"/>
        <w:rPr>
          <w:rFonts w:eastAsia="Calibri" w:cs="Times New Roman"/>
          <w:iCs w:val="0"/>
          <w:noProof/>
          <w:szCs w:val="22"/>
          <w:lang w:val="es-MX" w:eastAsia="es-MX"/>
        </w:rPr>
      </w:pPr>
      <w:r w:rsidRPr="006D1CBA">
        <w:rPr>
          <w:rFonts w:eastAsia="Calibri" w:cs="Times New Roman"/>
          <w:iCs w:val="0"/>
          <w:szCs w:val="22"/>
          <w:lang w:val="es-MX" w:eastAsia="en-US"/>
        </w:rPr>
        <w:lastRenderedPageBreak/>
        <w:drawing>
          <wp:inline distT="0" distB="0" distL="0" distR="0" wp14:anchorId="475AA665" wp14:editId="7BAE4D60">
            <wp:extent cx="6403975" cy="5060315"/>
            <wp:effectExtent l="0" t="0" r="0" b="6985"/>
            <wp:docPr id="1904501779" name="Imagen 190450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3975" cy="5060315"/>
                    </a:xfrm>
                    <a:prstGeom prst="rect">
                      <a:avLst/>
                    </a:prstGeom>
                    <a:noFill/>
                    <a:ln>
                      <a:noFill/>
                    </a:ln>
                  </pic:spPr>
                </pic:pic>
              </a:graphicData>
            </a:graphic>
          </wp:inline>
        </w:drawing>
      </w:r>
    </w:p>
    <w:p w14:paraId="40E9268C" w14:textId="77777777" w:rsidR="006D1CBA" w:rsidRPr="006D1CBA" w:rsidRDefault="006D1CBA" w:rsidP="006D1CBA">
      <w:pPr>
        <w:jc w:val="center"/>
        <w:rPr>
          <w:rFonts w:eastAsia="Calibri" w:cs="Times New Roman"/>
          <w:iCs w:val="0"/>
          <w:noProof/>
          <w:szCs w:val="22"/>
          <w:lang w:val="es-MX" w:eastAsia="es-MX"/>
        </w:rPr>
      </w:pPr>
      <w:r w:rsidRPr="006D1CBA">
        <w:rPr>
          <w:rFonts w:eastAsia="Calibri" w:cs="Times New Roman"/>
          <w:iCs w:val="0"/>
          <w:szCs w:val="22"/>
          <w:lang w:val="es-MX" w:eastAsia="en-US"/>
        </w:rPr>
        <w:lastRenderedPageBreak/>
        <w:drawing>
          <wp:inline distT="0" distB="0" distL="0" distR="0" wp14:anchorId="68DB5029" wp14:editId="409F3180">
            <wp:extent cx="6403975" cy="5614670"/>
            <wp:effectExtent l="0" t="0" r="0" b="0"/>
            <wp:docPr id="1904501780" name="Imagen 190450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03975" cy="5614670"/>
                    </a:xfrm>
                    <a:prstGeom prst="rect">
                      <a:avLst/>
                    </a:prstGeom>
                    <a:noFill/>
                    <a:ln>
                      <a:noFill/>
                    </a:ln>
                  </pic:spPr>
                </pic:pic>
              </a:graphicData>
            </a:graphic>
          </wp:inline>
        </w:drawing>
      </w:r>
    </w:p>
    <w:p w14:paraId="4B789D14" w14:textId="77777777" w:rsidR="006D1CBA" w:rsidRPr="006D1CBA" w:rsidRDefault="006D1CBA" w:rsidP="006D1CBA">
      <w:pPr>
        <w:jc w:val="both"/>
        <w:rPr>
          <w:rFonts w:eastAsia="Calibri" w:cs="Times New Roman"/>
          <w:iCs w:val="0"/>
          <w:noProof/>
          <w:szCs w:val="22"/>
          <w:lang w:val="es-MX" w:eastAsia="es-MX"/>
        </w:rPr>
      </w:pPr>
    </w:p>
    <w:p w14:paraId="6D2EE865" w14:textId="77777777" w:rsidR="006D1CBA" w:rsidRPr="006D1CBA" w:rsidRDefault="006D1CBA" w:rsidP="006D1CBA">
      <w:pPr>
        <w:jc w:val="center"/>
        <w:rPr>
          <w:rFonts w:eastAsia="Calibri" w:cs="Times New Roman"/>
          <w:iCs w:val="0"/>
          <w:noProof/>
          <w:szCs w:val="22"/>
          <w:lang w:val="es-MX" w:eastAsia="es-MX"/>
        </w:rPr>
      </w:pPr>
      <w:r w:rsidRPr="006D1CBA">
        <w:rPr>
          <w:rFonts w:eastAsia="Calibri" w:cs="Times New Roman"/>
          <w:iCs w:val="0"/>
          <w:szCs w:val="22"/>
          <w:lang w:val="es-MX" w:eastAsia="en-US"/>
        </w:rPr>
        <w:lastRenderedPageBreak/>
        <w:drawing>
          <wp:inline distT="0" distB="0" distL="0" distR="0" wp14:anchorId="363AD7F6" wp14:editId="0A7BD7C1">
            <wp:extent cx="6403975" cy="6303645"/>
            <wp:effectExtent l="0" t="0" r="0" b="0"/>
            <wp:docPr id="1904501781" name="Imagen 190450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03975" cy="6303645"/>
                    </a:xfrm>
                    <a:prstGeom prst="rect">
                      <a:avLst/>
                    </a:prstGeom>
                    <a:noFill/>
                    <a:ln>
                      <a:noFill/>
                    </a:ln>
                  </pic:spPr>
                </pic:pic>
              </a:graphicData>
            </a:graphic>
          </wp:inline>
        </w:drawing>
      </w:r>
    </w:p>
    <w:p w14:paraId="3B966C9E" w14:textId="77777777" w:rsidR="006D1CBA" w:rsidRPr="006D1CBA" w:rsidRDefault="006D1CBA" w:rsidP="006D1CBA">
      <w:pPr>
        <w:jc w:val="center"/>
        <w:rPr>
          <w:rFonts w:eastAsia="Calibri" w:cs="Times New Roman"/>
          <w:iCs w:val="0"/>
          <w:noProof/>
          <w:szCs w:val="22"/>
          <w:lang w:val="es-MX" w:eastAsia="es-MX"/>
        </w:rPr>
      </w:pPr>
    </w:p>
    <w:p w14:paraId="14D1C20B" w14:textId="77777777" w:rsidR="006D1CBA" w:rsidRPr="006D1CBA" w:rsidRDefault="006D1CBA" w:rsidP="006D1CBA">
      <w:pPr>
        <w:jc w:val="center"/>
        <w:rPr>
          <w:rFonts w:eastAsia="Calibri" w:cs="Times New Roman"/>
          <w:iCs w:val="0"/>
          <w:noProof/>
          <w:szCs w:val="22"/>
          <w:lang w:val="es-MX" w:eastAsia="es-MX"/>
        </w:rPr>
      </w:pPr>
      <w:r w:rsidRPr="006D1CBA">
        <w:rPr>
          <w:rFonts w:eastAsia="Calibri" w:cs="Times New Roman"/>
          <w:iCs w:val="0"/>
          <w:szCs w:val="22"/>
          <w:lang w:val="es-MX" w:eastAsia="en-US"/>
        </w:rPr>
        <w:lastRenderedPageBreak/>
        <w:drawing>
          <wp:inline distT="0" distB="0" distL="0" distR="0" wp14:anchorId="4C10C35B" wp14:editId="3A235566">
            <wp:extent cx="6403975" cy="6254750"/>
            <wp:effectExtent l="0" t="0" r="0" b="0"/>
            <wp:docPr id="1904501782" name="Imagen 190450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03975" cy="6254750"/>
                    </a:xfrm>
                    <a:prstGeom prst="rect">
                      <a:avLst/>
                    </a:prstGeom>
                    <a:noFill/>
                    <a:ln>
                      <a:noFill/>
                    </a:ln>
                  </pic:spPr>
                </pic:pic>
              </a:graphicData>
            </a:graphic>
          </wp:inline>
        </w:drawing>
      </w:r>
    </w:p>
    <w:p w14:paraId="4E0DCEE7" w14:textId="77777777" w:rsidR="006D1CBA" w:rsidRPr="006D1CBA" w:rsidRDefault="006D1CBA" w:rsidP="006D1CBA">
      <w:pPr>
        <w:jc w:val="both"/>
        <w:rPr>
          <w:rFonts w:eastAsia="Calibri" w:cs="Times New Roman"/>
          <w:iCs w:val="0"/>
          <w:noProof/>
          <w:szCs w:val="22"/>
          <w:lang w:val="es-MX" w:eastAsia="es-MX"/>
        </w:rPr>
      </w:pPr>
    </w:p>
    <w:p w14:paraId="02C74286" w14:textId="77777777" w:rsidR="006D1CBA" w:rsidRPr="006D1CBA" w:rsidRDefault="006D1CBA" w:rsidP="006D1CBA">
      <w:pPr>
        <w:jc w:val="center"/>
        <w:rPr>
          <w:rFonts w:eastAsia="Calibri" w:cs="Times New Roman"/>
          <w:iCs w:val="0"/>
          <w:noProof/>
          <w:szCs w:val="22"/>
          <w:lang w:val="es-MX" w:eastAsia="es-MX"/>
        </w:rPr>
      </w:pPr>
      <w:r w:rsidRPr="006D1CBA">
        <w:rPr>
          <w:rFonts w:eastAsia="Calibri" w:cs="Times New Roman"/>
          <w:iCs w:val="0"/>
          <w:szCs w:val="22"/>
          <w:lang w:val="es-MX" w:eastAsia="en-US"/>
        </w:rPr>
        <w:lastRenderedPageBreak/>
        <w:drawing>
          <wp:inline distT="0" distB="0" distL="0" distR="0" wp14:anchorId="788FEDA3" wp14:editId="449C8046">
            <wp:extent cx="6403975" cy="2953385"/>
            <wp:effectExtent l="0" t="0" r="0" b="0"/>
            <wp:docPr id="1904501783" name="Imagen 190450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03975" cy="2953385"/>
                    </a:xfrm>
                    <a:prstGeom prst="rect">
                      <a:avLst/>
                    </a:prstGeom>
                    <a:noFill/>
                    <a:ln>
                      <a:noFill/>
                    </a:ln>
                  </pic:spPr>
                </pic:pic>
              </a:graphicData>
            </a:graphic>
          </wp:inline>
        </w:drawing>
      </w:r>
    </w:p>
    <w:p w14:paraId="314FB08C" w14:textId="77777777" w:rsidR="006D1CBA" w:rsidRPr="006D1CBA" w:rsidRDefault="006D1CBA" w:rsidP="006D1CBA">
      <w:pPr>
        <w:jc w:val="center"/>
        <w:rPr>
          <w:rFonts w:eastAsia="Calibri" w:cs="Times New Roman"/>
          <w:iCs w:val="0"/>
          <w:noProof/>
          <w:szCs w:val="22"/>
          <w:lang w:val="es-MX" w:eastAsia="es-MX"/>
        </w:rPr>
      </w:pPr>
    </w:p>
    <w:p w14:paraId="5934C899" w14:textId="77777777" w:rsidR="006D1CBA" w:rsidRPr="006D1CBA" w:rsidRDefault="006D1CBA" w:rsidP="006D1CBA">
      <w:pPr>
        <w:jc w:val="center"/>
        <w:rPr>
          <w:rFonts w:eastAsia="Calibri" w:cs="Times New Roman"/>
          <w:iCs w:val="0"/>
          <w:noProof/>
          <w:szCs w:val="22"/>
          <w:lang w:val="es-MX" w:eastAsia="es-MX"/>
        </w:rPr>
      </w:pPr>
    </w:p>
    <w:p w14:paraId="590068FA" w14:textId="77777777" w:rsidR="006D1CBA" w:rsidRPr="006D1CBA" w:rsidRDefault="006D1CBA" w:rsidP="006D1CBA">
      <w:pPr>
        <w:jc w:val="center"/>
        <w:rPr>
          <w:rFonts w:eastAsia="Calibri" w:cs="Times New Roman"/>
          <w:iCs w:val="0"/>
          <w:noProof/>
          <w:szCs w:val="22"/>
          <w:lang w:val="es-MX" w:eastAsia="es-MX"/>
        </w:rPr>
      </w:pPr>
    </w:p>
    <w:p w14:paraId="7FC81F06" w14:textId="77777777" w:rsidR="006D1CBA" w:rsidRPr="006D1CBA" w:rsidRDefault="006D1CBA" w:rsidP="006D1CBA">
      <w:pPr>
        <w:jc w:val="center"/>
        <w:rPr>
          <w:rFonts w:eastAsia="Calibri" w:cs="Times New Roman"/>
          <w:iCs w:val="0"/>
          <w:noProof/>
          <w:szCs w:val="22"/>
          <w:lang w:val="es-MX" w:eastAsia="es-MX"/>
        </w:rPr>
      </w:pPr>
    </w:p>
    <w:p w14:paraId="7CDD60D1" w14:textId="77777777" w:rsidR="006632B1" w:rsidRPr="006632B1" w:rsidRDefault="006632B1" w:rsidP="006632B1">
      <w:bookmarkStart w:id="6" w:name="_GoBack"/>
      <w:bookmarkEnd w:id="6"/>
    </w:p>
    <w:sectPr w:rsidR="006632B1" w:rsidRPr="006632B1" w:rsidSect="006E7DD1">
      <w:headerReference w:type="even" r:id="rId53"/>
      <w:headerReference w:type="default" r:id="rId54"/>
      <w:footerReference w:type="even" r:id="rId55"/>
      <w:footerReference w:type="default" r:id="rId56"/>
      <w:headerReference w:type="first" r:id="rId57"/>
      <w:footerReference w:type="first" r:id="rId5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5F2FD" w14:textId="77777777" w:rsidR="001D1DBE" w:rsidRDefault="001D1DBE">
      <w:r>
        <w:separator/>
      </w:r>
    </w:p>
  </w:endnote>
  <w:endnote w:type="continuationSeparator" w:id="0">
    <w:p w14:paraId="22B1CBB2" w14:textId="77777777" w:rsidR="001D1DBE" w:rsidRDefault="001D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8464"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AAD8A0"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DC9B" w14:textId="77777777" w:rsidR="004119E4" w:rsidRPr="006632B1"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6632B1">
      <w:rPr>
        <w:rFonts w:ascii="HelveticaNeueLT Std Lt" w:eastAsia="Kozuka Gothic Pro B" w:hAnsi="HelveticaNeueLT Std Lt"/>
        <w:color w:val="FFFFFF"/>
        <w:sz w:val="22"/>
        <w:szCs w:val="22"/>
        <w:lang w:val="es-MX"/>
      </w:rPr>
      <w:fldChar w:fldCharType="begin"/>
    </w:r>
    <w:r w:rsidRPr="006632B1">
      <w:rPr>
        <w:rFonts w:ascii="HelveticaNeueLT Std Lt" w:eastAsia="Kozuka Gothic Pro B" w:hAnsi="HelveticaNeueLT Std Lt"/>
        <w:color w:val="FFFFFF"/>
        <w:sz w:val="22"/>
        <w:szCs w:val="22"/>
        <w:lang w:val="es-MX"/>
      </w:rPr>
      <w:instrText xml:space="preserve">PAGE  </w:instrText>
    </w:r>
    <w:r w:rsidRPr="006632B1">
      <w:rPr>
        <w:rFonts w:ascii="HelveticaNeueLT Std Lt" w:eastAsia="Kozuka Gothic Pro B" w:hAnsi="HelveticaNeueLT Std Lt"/>
        <w:color w:val="FFFFFF"/>
        <w:sz w:val="22"/>
        <w:szCs w:val="22"/>
        <w:lang w:val="es-MX"/>
      </w:rPr>
      <w:fldChar w:fldCharType="separate"/>
    </w:r>
    <w:r w:rsidR="0036699B" w:rsidRPr="006632B1">
      <w:rPr>
        <w:rFonts w:ascii="HelveticaNeueLT Std Lt" w:eastAsia="Kozuka Gothic Pro B" w:hAnsi="HelveticaNeueLT Std Lt"/>
        <w:noProof/>
        <w:color w:val="FFFFFF"/>
        <w:sz w:val="22"/>
        <w:szCs w:val="22"/>
        <w:lang w:val="es-MX"/>
      </w:rPr>
      <w:t>3</w:t>
    </w:r>
    <w:r w:rsidRPr="006632B1">
      <w:rPr>
        <w:rFonts w:ascii="HelveticaNeueLT Std Lt" w:eastAsia="Kozuka Gothic Pro B" w:hAnsi="HelveticaNeueLT Std Lt"/>
        <w:color w:val="FFFFFF"/>
        <w:sz w:val="22"/>
        <w:szCs w:val="22"/>
        <w:lang w:val="es-MX"/>
      </w:rPr>
      <w:fldChar w:fldCharType="end"/>
    </w:r>
  </w:p>
  <w:p w14:paraId="14711D7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A900"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2276EFA6" wp14:editId="47D48247">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73F1C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E96C8DE" wp14:editId="39A4B5C7">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DBB217"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7EDE77EB" wp14:editId="37AB706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8193983"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4703E6F9" wp14:editId="7BC0CA3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309AB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E1A0E60" wp14:editId="38A6387D">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85797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6609" w14:textId="77777777" w:rsidR="001D1DBE" w:rsidRDefault="001D1DBE">
      <w:r>
        <w:separator/>
      </w:r>
    </w:p>
  </w:footnote>
  <w:footnote w:type="continuationSeparator" w:id="0">
    <w:p w14:paraId="29C59577" w14:textId="77777777" w:rsidR="001D1DBE" w:rsidRDefault="001D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37B2" w14:textId="77777777" w:rsidR="009F6270" w:rsidRDefault="009F62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99F0"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10BEDB3E" wp14:editId="04ED87AF">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0E" w14:textId="77777777"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14:paraId="5E2D0454" w14:textId="64FECAFB"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2404C">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9F6270">
                            <w:rPr>
                              <w:rFonts w:ascii="HelveticaNeueLT Std Lt" w:eastAsia="Kozuka Gothic Pro B" w:hAnsi="HelveticaNeueLT Std Lt"/>
                              <w:lang w:val="es-MX"/>
                            </w:rPr>
                            <w:t>4</w:t>
                          </w:r>
                        </w:p>
                        <w:p w14:paraId="000C0447"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DB3E"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14:paraId="5DFA160E" w14:textId="77777777"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14:paraId="5E2D0454" w14:textId="64FECAFB"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2404C">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9F6270">
                      <w:rPr>
                        <w:rFonts w:ascii="HelveticaNeueLT Std Lt" w:eastAsia="Kozuka Gothic Pro B" w:hAnsi="HelveticaNeueLT Std Lt"/>
                        <w:lang w:val="es-MX"/>
                      </w:rPr>
                      <w:t>4</w:t>
                    </w:r>
                  </w:p>
                  <w:p w14:paraId="000C0447"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277AF3DB" wp14:editId="32E9E3A3">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550553F" w14:textId="77777777" w:rsidR="004119E4" w:rsidRDefault="004119E4" w:rsidP="00BF6032">
    <w:pPr>
      <w:pStyle w:val="Encabezado"/>
      <w:tabs>
        <w:tab w:val="left" w:pos="4860"/>
      </w:tabs>
      <w:ind w:right="846"/>
      <w:jc w:val="right"/>
      <w:rPr>
        <w:rFonts w:ascii="Romana BT" w:hAnsi="Romana BT"/>
        <w:b/>
        <w:sz w:val="16"/>
        <w:szCs w:val="16"/>
      </w:rPr>
    </w:pPr>
  </w:p>
  <w:p w14:paraId="75E3092E"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73F6"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51CEBE34" wp14:editId="0363B08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10241">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0D33"/>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15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1D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04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1F2C"/>
    <w:rsid w:val="0029328A"/>
    <w:rsid w:val="0029414D"/>
    <w:rsid w:val="002968D7"/>
    <w:rsid w:val="00296DFB"/>
    <w:rsid w:val="002970F9"/>
    <w:rsid w:val="002979D0"/>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2D57"/>
    <w:rsid w:val="00353C22"/>
    <w:rsid w:val="00355982"/>
    <w:rsid w:val="00357FCC"/>
    <w:rsid w:val="003607A4"/>
    <w:rsid w:val="003608C0"/>
    <w:rsid w:val="003620F3"/>
    <w:rsid w:val="003636AA"/>
    <w:rsid w:val="00363B39"/>
    <w:rsid w:val="0036699B"/>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5C"/>
    <w:rsid w:val="004575D8"/>
    <w:rsid w:val="00457EEB"/>
    <w:rsid w:val="00465873"/>
    <w:rsid w:val="00470A87"/>
    <w:rsid w:val="00471154"/>
    <w:rsid w:val="00474C0A"/>
    <w:rsid w:val="0047777F"/>
    <w:rsid w:val="00480D92"/>
    <w:rsid w:val="00483C18"/>
    <w:rsid w:val="00484418"/>
    <w:rsid w:val="00484FCB"/>
    <w:rsid w:val="00485854"/>
    <w:rsid w:val="00486B24"/>
    <w:rsid w:val="00487A91"/>
    <w:rsid w:val="00491765"/>
    <w:rsid w:val="004921B3"/>
    <w:rsid w:val="00493E59"/>
    <w:rsid w:val="004942D3"/>
    <w:rsid w:val="00495317"/>
    <w:rsid w:val="004970BB"/>
    <w:rsid w:val="004A18BC"/>
    <w:rsid w:val="004A53A8"/>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2B1"/>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5FD1"/>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1CBA"/>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3A"/>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57F"/>
    <w:rsid w:val="00830C95"/>
    <w:rsid w:val="0083124C"/>
    <w:rsid w:val="00831493"/>
    <w:rsid w:val="00831CA2"/>
    <w:rsid w:val="008339DF"/>
    <w:rsid w:val="00836132"/>
    <w:rsid w:val="00841439"/>
    <w:rsid w:val="00842BAD"/>
    <w:rsid w:val="00843553"/>
    <w:rsid w:val="00847A09"/>
    <w:rsid w:val="00847DA4"/>
    <w:rsid w:val="00850413"/>
    <w:rsid w:val="00850B29"/>
    <w:rsid w:val="0085582B"/>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58E9"/>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1F94"/>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6270"/>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043"/>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2A2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AE1"/>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A3F"/>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32CC"/>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87716,#f9c81e,#605d5c"/>
    </o:shapedefaults>
    <o:shapelayout v:ext="edit">
      <o:idmap v:ext="edit" data="1"/>
    </o:shapelayout>
  </w:shapeDefaults>
  <w:decimalSymbol w:val="."/>
  <w:listSeparator w:val=","/>
  <w14:docId w14:val="3D7BE5A5"/>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3.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6.png"/></Relationships>
</file>

<file path=word/_rels/header3.xml.rels><?xml version="1.0" encoding="UTF-8" standalone="yes"?>
<Relationships xmlns="http://schemas.openxmlformats.org/package/2006/relationships"><Relationship Id="rId1" Type="http://schemas.openxmlformats.org/officeDocument/2006/relationships/image" Target="media/image47.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7603-A5A8-4404-9A2C-67A825B3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4890</Words>
  <Characters>27409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2022-08-18T17:06:00Z</cp:lastPrinted>
  <dcterms:created xsi:type="dcterms:W3CDTF">2024-08-16T18:38:00Z</dcterms:created>
  <dcterms:modified xsi:type="dcterms:W3CDTF">2024-08-16T18:38:00Z</dcterms:modified>
</cp:coreProperties>
</file>