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2EACD" w14:textId="77777777" w:rsidR="00297ADF" w:rsidRPr="00297ADF" w:rsidRDefault="00297ADF" w:rsidP="00297ADF">
      <w:pPr>
        <w:autoSpaceDE w:val="0"/>
        <w:autoSpaceDN w:val="0"/>
        <w:adjustRightInd w:val="0"/>
        <w:jc w:val="center"/>
        <w:rPr>
          <w:rFonts w:ascii="Arial" w:eastAsia="Calibri" w:hAnsi="Arial" w:cs="Arial"/>
          <w:b/>
          <w:color w:val="9E213D"/>
          <w:sz w:val="28"/>
          <w:szCs w:val="28"/>
        </w:rPr>
      </w:pPr>
      <w:r w:rsidRPr="00297ADF">
        <w:rPr>
          <w:rFonts w:ascii="Arial" w:eastAsia="Calibri" w:hAnsi="Arial" w:cs="Arial"/>
          <w:b/>
          <w:color w:val="9E213D"/>
          <w:sz w:val="28"/>
          <w:szCs w:val="28"/>
        </w:rPr>
        <w:t>Notas a los estados financieros consolidados</w:t>
      </w:r>
    </w:p>
    <w:p w14:paraId="1AA6AA0B" w14:textId="77777777" w:rsidR="00297ADF" w:rsidRPr="00297ADF" w:rsidRDefault="00297ADF" w:rsidP="00297ADF">
      <w:pPr>
        <w:jc w:val="center"/>
        <w:rPr>
          <w:rFonts w:ascii="Arial" w:eastAsia="Calibri" w:hAnsi="Arial" w:cs="Arial"/>
          <w:color w:val="9E213D"/>
          <w:sz w:val="24"/>
          <w:szCs w:val="24"/>
          <w:lang w:eastAsia="es-ES"/>
        </w:rPr>
      </w:pPr>
      <w:r w:rsidRPr="00297ADF">
        <w:rPr>
          <w:rFonts w:ascii="Arial" w:eastAsia="Calibri" w:hAnsi="Arial" w:cs="Arial"/>
          <w:color w:val="9E213D"/>
          <w:sz w:val="24"/>
          <w:szCs w:val="24"/>
          <w:lang w:eastAsia="es-ES"/>
        </w:rPr>
        <w:t>DEL 1 DE ENERO AL 31 DE MARZO DE 2024</w:t>
      </w:r>
    </w:p>
    <w:p w14:paraId="06D62D4F" w14:textId="77777777" w:rsidR="00297ADF" w:rsidRPr="00297ADF" w:rsidRDefault="00297ADF" w:rsidP="00297ADF">
      <w:pPr>
        <w:jc w:val="center"/>
        <w:rPr>
          <w:rFonts w:ascii="Arial" w:eastAsia="Calibri" w:hAnsi="Arial" w:cs="Arial"/>
          <w:color w:val="9E213D"/>
          <w:sz w:val="24"/>
          <w:szCs w:val="24"/>
          <w:lang w:eastAsia="es-ES"/>
        </w:rPr>
      </w:pPr>
      <w:r w:rsidRPr="00297ADF">
        <w:rPr>
          <w:rFonts w:ascii="Arial" w:eastAsia="Calibri" w:hAnsi="Arial" w:cs="Arial"/>
          <w:color w:val="9E213D"/>
          <w:sz w:val="24"/>
          <w:szCs w:val="24"/>
          <w:lang w:eastAsia="es-ES"/>
        </w:rPr>
        <w:t>(Cifras en pesos)</w:t>
      </w:r>
    </w:p>
    <w:p w14:paraId="6194E3D9" w14:textId="77777777" w:rsidR="00297ADF" w:rsidRPr="00297ADF" w:rsidRDefault="00297ADF" w:rsidP="00297ADF">
      <w:pPr>
        <w:jc w:val="both"/>
        <w:outlineLvl w:val="0"/>
        <w:rPr>
          <w:rFonts w:ascii="Arial" w:eastAsia="Calibri" w:hAnsi="Arial" w:cs="Arial"/>
          <w:color w:val="9E213D"/>
          <w:sz w:val="20"/>
          <w:szCs w:val="20"/>
        </w:rPr>
      </w:pPr>
      <w:bookmarkStart w:id="0" w:name="_Hlk117854077"/>
    </w:p>
    <w:p w14:paraId="27F5E5DB" w14:textId="77777777" w:rsidR="00297ADF" w:rsidRPr="00297ADF" w:rsidRDefault="00297ADF" w:rsidP="00297ADF">
      <w:pPr>
        <w:jc w:val="both"/>
        <w:rPr>
          <w:rFonts w:ascii="Arial" w:eastAsia="Times New Roman" w:hAnsi="Arial" w:cs="Arial"/>
          <w:b/>
          <w:bCs/>
          <w:sz w:val="24"/>
          <w:szCs w:val="24"/>
          <w:lang w:val="es-ES" w:eastAsia="es-ES"/>
        </w:rPr>
      </w:pPr>
      <w:r w:rsidRPr="00297ADF">
        <w:rPr>
          <w:rFonts w:ascii="Arial" w:eastAsia="Times New Roman" w:hAnsi="Arial" w:cs="Arial"/>
          <w:b/>
          <w:bCs/>
          <w:sz w:val="24"/>
          <w:szCs w:val="24"/>
          <w:lang w:val="es-ES" w:eastAsia="es-ES"/>
        </w:rPr>
        <w:t>Introducción</w:t>
      </w:r>
    </w:p>
    <w:p w14:paraId="1F7FDD39" w14:textId="77777777" w:rsidR="00297ADF" w:rsidRPr="00297ADF" w:rsidRDefault="00297ADF" w:rsidP="00297ADF">
      <w:pPr>
        <w:jc w:val="both"/>
        <w:outlineLvl w:val="0"/>
        <w:rPr>
          <w:rFonts w:ascii="Arial" w:eastAsia="Calibri" w:hAnsi="Arial" w:cs="Arial"/>
          <w:sz w:val="20"/>
          <w:szCs w:val="20"/>
        </w:rPr>
      </w:pPr>
    </w:p>
    <w:p w14:paraId="0756A54F"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De conformidad al artículo 46, fracción I, inciso g) y 49 de la Ley General de Contabilidad Gubernamental, así como, a la normatividad emitida por el Consejo Nacional de Armonización Contable, a continuación, se presentan las notas a los estados financieros del Gobierno del estado de Chiapas, correspondiente al 31 de marzo de 2024, con los siguientes apartados:</w:t>
      </w:r>
    </w:p>
    <w:p w14:paraId="221073C2" w14:textId="77777777" w:rsidR="00297ADF" w:rsidRPr="00297ADF" w:rsidRDefault="00297ADF" w:rsidP="00297ADF">
      <w:pPr>
        <w:jc w:val="both"/>
        <w:outlineLvl w:val="0"/>
        <w:rPr>
          <w:rFonts w:ascii="Arial" w:eastAsia="Times New Roman" w:hAnsi="Arial" w:cs="Arial"/>
          <w:sz w:val="20"/>
          <w:szCs w:val="20"/>
        </w:rPr>
      </w:pPr>
    </w:p>
    <w:p w14:paraId="6C35ABD2" w14:textId="77777777" w:rsidR="00297ADF" w:rsidRPr="00297ADF" w:rsidRDefault="00297ADF" w:rsidP="00297ADF">
      <w:pPr>
        <w:numPr>
          <w:ilvl w:val="0"/>
          <w:numId w:val="28"/>
        </w:numPr>
        <w:spacing w:after="120"/>
        <w:ind w:left="357" w:hanging="357"/>
        <w:jc w:val="both"/>
        <w:outlineLvl w:val="0"/>
        <w:rPr>
          <w:rFonts w:ascii="Arial" w:eastAsia="Times New Roman" w:hAnsi="Arial" w:cs="Arial"/>
          <w:sz w:val="20"/>
          <w:szCs w:val="20"/>
          <w:lang w:eastAsia="es-MX"/>
        </w:rPr>
      </w:pPr>
      <w:r w:rsidRPr="00297ADF">
        <w:rPr>
          <w:rFonts w:ascii="Arial" w:eastAsia="Times New Roman" w:hAnsi="Arial" w:cs="Arial"/>
          <w:sz w:val="20"/>
          <w:szCs w:val="20"/>
          <w:lang w:eastAsia="es-MX"/>
        </w:rPr>
        <w:t>Notas de gestión administrativa,</w:t>
      </w:r>
    </w:p>
    <w:p w14:paraId="620D8907" w14:textId="77777777" w:rsidR="00297ADF" w:rsidRPr="00297ADF" w:rsidRDefault="00297ADF" w:rsidP="00297ADF">
      <w:pPr>
        <w:numPr>
          <w:ilvl w:val="0"/>
          <w:numId w:val="28"/>
        </w:numPr>
        <w:spacing w:after="120"/>
        <w:ind w:left="357" w:hanging="357"/>
        <w:jc w:val="both"/>
        <w:outlineLvl w:val="0"/>
        <w:rPr>
          <w:rFonts w:ascii="Arial" w:eastAsia="Times New Roman" w:hAnsi="Arial" w:cs="Arial"/>
          <w:sz w:val="20"/>
          <w:szCs w:val="20"/>
          <w:lang w:eastAsia="es-MX"/>
        </w:rPr>
      </w:pPr>
      <w:r w:rsidRPr="00297ADF">
        <w:rPr>
          <w:rFonts w:ascii="Arial" w:eastAsia="Times New Roman" w:hAnsi="Arial" w:cs="Arial"/>
          <w:sz w:val="20"/>
          <w:szCs w:val="20"/>
          <w:lang w:eastAsia="es-MX"/>
        </w:rPr>
        <w:t>Notas de desglose, y</w:t>
      </w:r>
    </w:p>
    <w:p w14:paraId="3C4EC78E" w14:textId="77777777" w:rsidR="00297ADF" w:rsidRPr="00297ADF" w:rsidRDefault="00297ADF" w:rsidP="00297ADF">
      <w:pPr>
        <w:numPr>
          <w:ilvl w:val="0"/>
          <w:numId w:val="28"/>
        </w:numPr>
        <w:spacing w:after="120"/>
        <w:ind w:left="357" w:hanging="357"/>
        <w:jc w:val="both"/>
        <w:outlineLvl w:val="0"/>
        <w:rPr>
          <w:rFonts w:ascii="Arial" w:eastAsia="Times New Roman" w:hAnsi="Arial" w:cs="Arial"/>
          <w:sz w:val="20"/>
          <w:szCs w:val="20"/>
          <w:lang w:eastAsia="es-MX"/>
        </w:rPr>
      </w:pPr>
      <w:r w:rsidRPr="00297ADF">
        <w:rPr>
          <w:rFonts w:ascii="Arial" w:eastAsia="Times New Roman" w:hAnsi="Arial" w:cs="Arial"/>
          <w:sz w:val="20"/>
          <w:szCs w:val="20"/>
          <w:lang w:eastAsia="es-MX"/>
        </w:rPr>
        <w:t>Notas de memoria (cuentas de orden).</w:t>
      </w:r>
    </w:p>
    <w:p w14:paraId="354A6FA6" w14:textId="77777777" w:rsidR="00297ADF" w:rsidRPr="00297ADF" w:rsidRDefault="00297ADF" w:rsidP="00297ADF">
      <w:pPr>
        <w:jc w:val="both"/>
        <w:rPr>
          <w:rFonts w:ascii="Arial" w:eastAsia="Calibri" w:hAnsi="Arial" w:cs="Arial"/>
          <w:sz w:val="20"/>
          <w:szCs w:val="20"/>
        </w:rPr>
      </w:pPr>
    </w:p>
    <w:p w14:paraId="03A9FDB6"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 xml:space="preserve">Las cifras al 31 de marzo de 2024, se presentan de conformidad a la estructura de consolidación dictado por el Consejo Nacional de Armonización Contable, en el Acuerdo por el que se armoniza la estructura de las cuentas públicas, publicado en el Diario Oficial de la Federación el 30 de </w:t>
      </w:r>
      <w:r w:rsidRPr="00297ADF">
        <w:rPr>
          <w:rFonts w:ascii="Arial" w:hAnsi="Arial" w:cs="Arial"/>
          <w:sz w:val="20"/>
          <w:szCs w:val="20"/>
        </w:rPr>
        <w:t xml:space="preserve">diciembre </w:t>
      </w:r>
      <w:r w:rsidRPr="00297ADF">
        <w:rPr>
          <w:rFonts w:ascii="Arial" w:eastAsia="Calibri" w:hAnsi="Arial" w:cs="Arial"/>
          <w:sz w:val="20"/>
          <w:szCs w:val="20"/>
        </w:rPr>
        <w:t xml:space="preserve">de 2013, reformas del 6 de octubre de 2014, 27 de septiembre de 2018, 23 de </w:t>
      </w:r>
      <w:r w:rsidRPr="00297ADF">
        <w:rPr>
          <w:rFonts w:ascii="Arial" w:hAnsi="Arial" w:cs="Arial"/>
          <w:sz w:val="20"/>
          <w:szCs w:val="20"/>
        </w:rPr>
        <w:t xml:space="preserve">diciembre </w:t>
      </w:r>
      <w:r w:rsidRPr="00297ADF">
        <w:rPr>
          <w:rFonts w:ascii="Arial" w:eastAsia="Calibri" w:hAnsi="Arial" w:cs="Arial"/>
          <w:sz w:val="20"/>
          <w:szCs w:val="20"/>
        </w:rPr>
        <w:t xml:space="preserve">de 2020 y 6 de </w:t>
      </w:r>
      <w:r w:rsidRPr="00297ADF">
        <w:rPr>
          <w:rFonts w:ascii="Arial" w:hAnsi="Arial" w:cs="Arial"/>
          <w:sz w:val="20"/>
          <w:szCs w:val="20"/>
        </w:rPr>
        <w:t xml:space="preserve">diciembre </w:t>
      </w:r>
      <w:r w:rsidRPr="00297ADF">
        <w:rPr>
          <w:rFonts w:ascii="Arial" w:eastAsia="Calibri" w:hAnsi="Arial" w:cs="Arial"/>
          <w:sz w:val="20"/>
          <w:szCs w:val="20"/>
        </w:rPr>
        <w:t>de 2022.</w:t>
      </w:r>
    </w:p>
    <w:p w14:paraId="2B76F0C2" w14:textId="77777777" w:rsidR="00297ADF" w:rsidRPr="00297ADF" w:rsidRDefault="00297ADF" w:rsidP="00297ADF">
      <w:pPr>
        <w:jc w:val="both"/>
        <w:rPr>
          <w:rFonts w:ascii="Arial" w:eastAsia="Calibri" w:hAnsi="Arial" w:cs="Arial"/>
          <w:sz w:val="20"/>
          <w:szCs w:val="20"/>
        </w:rPr>
      </w:pPr>
    </w:p>
    <w:p w14:paraId="0CFEFA74" w14:textId="77777777" w:rsidR="00297ADF" w:rsidRPr="00297ADF" w:rsidRDefault="00297ADF" w:rsidP="00297ADF">
      <w:pPr>
        <w:jc w:val="both"/>
        <w:rPr>
          <w:rFonts w:ascii="Arial" w:eastAsia="Calibri" w:hAnsi="Arial" w:cs="Arial"/>
          <w:sz w:val="20"/>
          <w:szCs w:val="20"/>
        </w:rPr>
      </w:pPr>
    </w:p>
    <w:p w14:paraId="2CDADB8E" w14:textId="77777777" w:rsidR="00297ADF" w:rsidRPr="00297ADF" w:rsidRDefault="00297ADF" w:rsidP="00297ADF">
      <w:pPr>
        <w:jc w:val="both"/>
        <w:rPr>
          <w:rFonts w:ascii="Arial" w:eastAsia="Times New Roman" w:hAnsi="Arial" w:cs="Arial"/>
          <w:b/>
          <w:bCs/>
          <w:sz w:val="24"/>
          <w:szCs w:val="24"/>
          <w:lang w:val="es-ES" w:eastAsia="es-ES"/>
        </w:rPr>
      </w:pPr>
      <w:r w:rsidRPr="00297ADF">
        <w:rPr>
          <w:rFonts w:ascii="Arial" w:eastAsia="Times New Roman" w:hAnsi="Arial" w:cs="Arial"/>
          <w:b/>
          <w:bCs/>
          <w:sz w:val="24"/>
          <w:szCs w:val="24"/>
          <w:lang w:val="es-ES" w:eastAsia="es-ES"/>
        </w:rPr>
        <w:t>Notas de gestión administrativa</w:t>
      </w:r>
    </w:p>
    <w:p w14:paraId="63259EE4" w14:textId="77777777" w:rsidR="00297ADF" w:rsidRPr="00297ADF" w:rsidRDefault="00297ADF" w:rsidP="00297ADF">
      <w:pPr>
        <w:autoSpaceDE w:val="0"/>
        <w:autoSpaceDN w:val="0"/>
        <w:adjustRightInd w:val="0"/>
        <w:jc w:val="both"/>
        <w:outlineLvl w:val="0"/>
        <w:rPr>
          <w:rFonts w:ascii="Arial" w:eastAsia="Calibri" w:hAnsi="Arial" w:cs="Arial"/>
          <w:b/>
          <w:bCs/>
          <w:sz w:val="20"/>
          <w:szCs w:val="20"/>
        </w:rPr>
      </w:pPr>
    </w:p>
    <w:p w14:paraId="354D7588"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Autorización e historia</w:t>
      </w:r>
    </w:p>
    <w:p w14:paraId="77A2C10A" w14:textId="77777777" w:rsidR="00297ADF" w:rsidRPr="00297ADF" w:rsidRDefault="00297ADF" w:rsidP="00297ADF">
      <w:pPr>
        <w:autoSpaceDE w:val="0"/>
        <w:autoSpaceDN w:val="0"/>
        <w:adjustRightInd w:val="0"/>
        <w:jc w:val="both"/>
        <w:rPr>
          <w:rFonts w:ascii="Arial" w:eastAsia="Calibri" w:hAnsi="Arial" w:cs="Arial"/>
          <w:sz w:val="20"/>
          <w:szCs w:val="20"/>
        </w:rPr>
      </w:pPr>
    </w:p>
    <w:p w14:paraId="39D48648"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r w:rsidRPr="00297ADF">
        <w:rPr>
          <w:rFonts w:ascii="Arial" w:eastAsia="Calibri" w:hAnsi="Arial" w:cs="Arial"/>
          <w:sz w:val="20"/>
          <w:szCs w:val="20"/>
        </w:rPr>
        <w:t xml:space="preserve">Chiapas se constituyó como estado libre y soberano el 14 de marzo del 1824 y como parte integrante de los Estados Unidos Mexicanos por voluntad propia del pueblo chiapaneco. </w:t>
      </w:r>
    </w:p>
    <w:p w14:paraId="2930567E"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3E72ED8D"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r w:rsidRPr="00297ADF">
        <w:rPr>
          <w:rFonts w:ascii="Arial" w:eastAsia="Calibri" w:hAnsi="Arial" w:cs="Arial"/>
          <w:sz w:val="20"/>
          <w:szCs w:val="20"/>
        </w:rPr>
        <w:t>Para su organización política y administrativa se divide en 125 municipios libres, clasificados en 15 regiones socioeconómicas.</w:t>
      </w:r>
    </w:p>
    <w:p w14:paraId="5A100287"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333DD9BF"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r w:rsidRPr="00297ADF">
        <w:rPr>
          <w:rFonts w:ascii="Arial" w:eastAsia="Calibri" w:hAnsi="Arial" w:cs="Arial"/>
          <w:sz w:val="20"/>
          <w:szCs w:val="20"/>
        </w:rPr>
        <w:t xml:space="preserve">Localizado al sureste de los Estados Unidos Mexicanos con una población intercultural, cuenta con una estructura económica centrada en los sectores de comercio y servicios, originadas por el </w:t>
      </w:r>
      <w:hyperlink r:id="rId8" w:tooltip="Turismo" w:history="1">
        <w:r w:rsidRPr="00297ADF">
          <w:rPr>
            <w:rFonts w:ascii="Arial" w:eastAsia="Calibri" w:hAnsi="Arial" w:cs="Arial"/>
            <w:sz w:val="20"/>
            <w:szCs w:val="20"/>
          </w:rPr>
          <w:t>turismo</w:t>
        </w:r>
      </w:hyperlink>
      <w:r w:rsidRPr="00297ADF">
        <w:rPr>
          <w:rFonts w:ascii="Arial" w:eastAsia="Calibri" w:hAnsi="Arial" w:cs="Arial"/>
          <w:sz w:val="20"/>
          <w:szCs w:val="20"/>
        </w:rPr>
        <w:t xml:space="preserve"> nacional e internacional. En el ramo agropecuario se destaca la producción de </w:t>
      </w:r>
      <w:hyperlink r:id="rId9" w:tooltip="Coffea" w:history="1">
        <w:r w:rsidRPr="00297ADF">
          <w:rPr>
            <w:rFonts w:ascii="Arial" w:eastAsia="Calibri" w:hAnsi="Arial" w:cs="Arial"/>
            <w:sz w:val="20"/>
            <w:szCs w:val="20"/>
          </w:rPr>
          <w:t>café</w:t>
        </w:r>
      </w:hyperlink>
      <w:r w:rsidRPr="00297ADF">
        <w:rPr>
          <w:rFonts w:ascii="Arial" w:eastAsia="Calibri" w:hAnsi="Arial" w:cs="Arial"/>
          <w:sz w:val="20"/>
          <w:szCs w:val="20"/>
        </w:rPr>
        <w:t xml:space="preserve">, </w:t>
      </w:r>
      <w:hyperlink r:id="rId10" w:tooltip="Miel" w:history="1">
        <w:r w:rsidRPr="00297ADF">
          <w:rPr>
            <w:rFonts w:ascii="Arial" w:eastAsia="Calibri" w:hAnsi="Arial" w:cs="Arial"/>
            <w:sz w:val="20"/>
            <w:szCs w:val="20"/>
          </w:rPr>
          <w:t>miel</w:t>
        </w:r>
      </w:hyperlink>
      <w:r w:rsidRPr="00297ADF">
        <w:rPr>
          <w:rFonts w:ascii="Arial" w:eastAsia="Calibri" w:hAnsi="Arial" w:cs="Arial"/>
          <w:sz w:val="20"/>
          <w:szCs w:val="20"/>
        </w:rPr>
        <w:t xml:space="preserve"> y </w:t>
      </w:r>
      <w:hyperlink r:id="rId11" w:tooltip="Azúcar" w:history="1">
        <w:r w:rsidRPr="00297ADF">
          <w:rPr>
            <w:rFonts w:ascii="Arial" w:eastAsia="Calibri" w:hAnsi="Arial" w:cs="Arial"/>
            <w:sz w:val="20"/>
            <w:szCs w:val="20"/>
          </w:rPr>
          <w:t>azúcar</w:t>
        </w:r>
      </w:hyperlink>
      <w:r w:rsidRPr="00297ADF">
        <w:rPr>
          <w:rFonts w:ascii="Arial" w:eastAsia="Calibri" w:hAnsi="Arial" w:cs="Arial"/>
          <w:sz w:val="20"/>
          <w:szCs w:val="20"/>
        </w:rPr>
        <w:t xml:space="preserve"> de caña y así también la producción artesanal como la elaboración de joyas a base de </w:t>
      </w:r>
      <w:hyperlink r:id="rId12" w:tooltip="Ámbar" w:history="1">
        <w:r w:rsidRPr="00297ADF">
          <w:rPr>
            <w:rFonts w:ascii="Arial" w:eastAsia="Calibri" w:hAnsi="Arial" w:cs="Arial"/>
            <w:sz w:val="20"/>
            <w:szCs w:val="20"/>
          </w:rPr>
          <w:t>ámbar</w:t>
        </w:r>
      </w:hyperlink>
      <w:r w:rsidRPr="00297ADF">
        <w:rPr>
          <w:rFonts w:ascii="Arial" w:eastAsia="Calibri" w:hAnsi="Arial" w:cs="Arial"/>
          <w:sz w:val="20"/>
          <w:szCs w:val="20"/>
        </w:rPr>
        <w:t>, los trabajos en madera y barro.</w:t>
      </w:r>
    </w:p>
    <w:p w14:paraId="66D75305" w14:textId="77777777" w:rsidR="00297ADF" w:rsidRPr="00297ADF" w:rsidRDefault="00297ADF" w:rsidP="00297ADF">
      <w:pPr>
        <w:autoSpaceDE w:val="0"/>
        <w:autoSpaceDN w:val="0"/>
        <w:adjustRightInd w:val="0"/>
        <w:jc w:val="both"/>
        <w:outlineLvl w:val="0"/>
        <w:rPr>
          <w:rFonts w:ascii="Arial" w:eastAsia="Calibri" w:hAnsi="Arial" w:cs="Arial"/>
          <w:b/>
          <w:bCs/>
          <w:sz w:val="20"/>
          <w:szCs w:val="20"/>
        </w:rPr>
      </w:pPr>
    </w:p>
    <w:p w14:paraId="6D98D076"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Panorama económico y financiero</w:t>
      </w:r>
    </w:p>
    <w:p w14:paraId="1A82436B"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12611FCA"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r w:rsidRPr="00297ADF">
        <w:rPr>
          <w:rFonts w:ascii="Arial" w:eastAsia="Calibri" w:hAnsi="Arial" w:cs="Arial"/>
          <w:sz w:val="20"/>
          <w:szCs w:val="20"/>
        </w:rPr>
        <w:t>Las principales condiciones económicas y financieras, bajo las cuales el Gobierno del estado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14:paraId="330D3989"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1D651C9B"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Organización y objeto social</w:t>
      </w:r>
    </w:p>
    <w:p w14:paraId="4B0725FF"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6C49909C"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r w:rsidRPr="00297ADF">
        <w:rPr>
          <w:rFonts w:ascii="Arial" w:eastAsia="Calibri" w:hAnsi="Arial" w:cs="Arial"/>
          <w:sz w:val="20"/>
          <w:szCs w:val="20"/>
        </w:rPr>
        <w:t>La estructura organizacional básica del Gobierno Estatal,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14:paraId="5D3D9CDE" w14:textId="77777777" w:rsidR="00297ADF" w:rsidRPr="00297ADF" w:rsidRDefault="00297ADF" w:rsidP="00297ADF">
      <w:pPr>
        <w:autoSpaceDE w:val="0"/>
        <w:autoSpaceDN w:val="0"/>
        <w:adjustRightInd w:val="0"/>
        <w:jc w:val="both"/>
        <w:outlineLvl w:val="0"/>
        <w:rPr>
          <w:rFonts w:ascii="Arial" w:eastAsia="Calibri" w:hAnsi="Arial" w:cs="Arial"/>
          <w:sz w:val="20"/>
          <w:szCs w:val="20"/>
        </w:rPr>
      </w:pPr>
    </w:p>
    <w:p w14:paraId="5C3675D0" w14:textId="77777777" w:rsidR="00167C29" w:rsidRDefault="00167C29">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1FB7D594" w14:textId="0116A14B"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Bases de preparación de los estados financieros</w:t>
      </w:r>
    </w:p>
    <w:p w14:paraId="6A895BF1" w14:textId="77777777" w:rsidR="00297ADF" w:rsidRPr="00297ADF" w:rsidRDefault="00297ADF" w:rsidP="00297ADF">
      <w:pPr>
        <w:autoSpaceDE w:val="0"/>
        <w:autoSpaceDN w:val="0"/>
        <w:adjustRightInd w:val="0"/>
        <w:jc w:val="both"/>
        <w:rPr>
          <w:rFonts w:ascii="Arial" w:eastAsia="Calibri" w:hAnsi="Arial" w:cs="Arial"/>
          <w:sz w:val="20"/>
          <w:szCs w:val="20"/>
        </w:rPr>
      </w:pPr>
    </w:p>
    <w:p w14:paraId="329909D6" w14:textId="77777777" w:rsidR="00297ADF" w:rsidRPr="00297ADF" w:rsidRDefault="00297ADF" w:rsidP="00297ADF">
      <w:pPr>
        <w:numPr>
          <w:ilvl w:val="1"/>
          <w:numId w:val="0"/>
        </w:numPr>
        <w:jc w:val="both"/>
        <w:rPr>
          <w:rFonts w:ascii="Arial" w:eastAsia="Times New Roman" w:hAnsi="Arial" w:cs="Times New Roman"/>
          <w:b/>
          <w:iCs/>
          <w:sz w:val="20"/>
        </w:rPr>
      </w:pPr>
      <w:r w:rsidRPr="00297ADF">
        <w:rPr>
          <w:rFonts w:ascii="Arial" w:eastAsia="Times New Roman" w:hAnsi="Arial" w:cs="Times New Roman"/>
          <w:b/>
          <w:sz w:val="20"/>
        </w:rPr>
        <w:t>Marco Legal</w:t>
      </w:r>
    </w:p>
    <w:p w14:paraId="341B360D" w14:textId="77777777" w:rsidR="00297ADF" w:rsidRPr="00297ADF" w:rsidRDefault="00297ADF" w:rsidP="00297ADF">
      <w:pPr>
        <w:autoSpaceDE w:val="0"/>
        <w:autoSpaceDN w:val="0"/>
        <w:adjustRightInd w:val="0"/>
        <w:jc w:val="both"/>
        <w:rPr>
          <w:rFonts w:ascii="Arial" w:eastAsia="Calibri" w:hAnsi="Arial" w:cs="Arial"/>
          <w:i/>
          <w:iCs/>
          <w:sz w:val="20"/>
          <w:szCs w:val="20"/>
        </w:rPr>
      </w:pPr>
    </w:p>
    <w:p w14:paraId="12F56C5D"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Conforme a lo establecido en la Constitución Política del Estado de Chiapas, la Ley Orgánica de la Administración Pública del Estado de Chiapas y al Código de la Hacienda Pública para el Estado de Chiapas, se le otorga la responsabilidad a la Secretaría de Hacienda la administración financiera de la hacienda pública del estado de Chiapas, entre sus funciones le corresponde establecer las normas sobre la forma y términos en que los entes públicos deberán realizar sus registros contables y en su caso la forma de elaborar y enviar los informes financieros a fin de consolidar la contabilidad del Gobierno del Estado. </w:t>
      </w:r>
    </w:p>
    <w:p w14:paraId="6C4AE4E1" w14:textId="77777777" w:rsidR="00297ADF" w:rsidRPr="00297ADF" w:rsidRDefault="00297ADF" w:rsidP="00297ADF">
      <w:pPr>
        <w:autoSpaceDE w:val="0"/>
        <w:autoSpaceDN w:val="0"/>
        <w:adjustRightInd w:val="0"/>
        <w:jc w:val="both"/>
        <w:outlineLvl w:val="0"/>
        <w:rPr>
          <w:rFonts w:ascii="Arial" w:eastAsia="Calibri" w:hAnsi="Arial" w:cs="Arial"/>
          <w:i/>
          <w:iCs/>
          <w:sz w:val="20"/>
          <w:szCs w:val="20"/>
        </w:rPr>
      </w:pPr>
    </w:p>
    <w:p w14:paraId="103B7551"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Marco Normativo</w:t>
      </w:r>
    </w:p>
    <w:p w14:paraId="5410555A" w14:textId="77777777" w:rsidR="00297ADF" w:rsidRPr="00297ADF" w:rsidRDefault="00297ADF" w:rsidP="00297ADF">
      <w:pPr>
        <w:autoSpaceDE w:val="0"/>
        <w:autoSpaceDN w:val="0"/>
        <w:adjustRightInd w:val="0"/>
        <w:jc w:val="both"/>
        <w:rPr>
          <w:rFonts w:ascii="Arial" w:eastAsia="Calibri" w:hAnsi="Arial" w:cs="Arial"/>
          <w:sz w:val="20"/>
          <w:szCs w:val="20"/>
        </w:rPr>
      </w:pPr>
    </w:p>
    <w:p w14:paraId="11A74EFD"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14:paraId="5A8E0BF6" w14:textId="77777777" w:rsidR="00297ADF" w:rsidRPr="00297ADF" w:rsidRDefault="00297ADF" w:rsidP="00297ADF">
      <w:pPr>
        <w:autoSpaceDE w:val="0"/>
        <w:autoSpaceDN w:val="0"/>
        <w:adjustRightInd w:val="0"/>
        <w:jc w:val="both"/>
        <w:rPr>
          <w:rFonts w:ascii="Arial" w:eastAsia="Calibri" w:hAnsi="Arial" w:cs="Arial"/>
          <w:sz w:val="20"/>
          <w:szCs w:val="20"/>
        </w:rPr>
      </w:pPr>
    </w:p>
    <w:p w14:paraId="166DC438"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La normatividad contable, la normatividad financiera, normas presupuestarias y otras auxiliares como las normas y tarifas de viáticos,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0C0D68BF" w14:textId="77777777" w:rsidR="00297ADF" w:rsidRPr="00297ADF" w:rsidRDefault="00297ADF" w:rsidP="00297ADF">
      <w:pPr>
        <w:autoSpaceDE w:val="0"/>
        <w:autoSpaceDN w:val="0"/>
        <w:adjustRightInd w:val="0"/>
        <w:jc w:val="both"/>
        <w:rPr>
          <w:rFonts w:ascii="Arial" w:eastAsia="Calibri" w:hAnsi="Arial" w:cs="Arial"/>
          <w:sz w:val="20"/>
          <w:szCs w:val="20"/>
        </w:rPr>
      </w:pPr>
    </w:p>
    <w:p w14:paraId="7978170A"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14:paraId="0F18C88E" w14:textId="77777777" w:rsidR="00297ADF" w:rsidRPr="00297ADF" w:rsidRDefault="00297ADF" w:rsidP="00297ADF">
      <w:pPr>
        <w:autoSpaceDE w:val="0"/>
        <w:autoSpaceDN w:val="0"/>
        <w:adjustRightInd w:val="0"/>
        <w:jc w:val="both"/>
        <w:rPr>
          <w:rFonts w:ascii="Arial" w:eastAsia="Calibri" w:hAnsi="Arial" w:cs="Arial"/>
          <w:sz w:val="20"/>
          <w:szCs w:val="20"/>
        </w:rPr>
      </w:pPr>
    </w:p>
    <w:p w14:paraId="44D2B50B"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Presentación</w:t>
      </w:r>
    </w:p>
    <w:p w14:paraId="62784F72" w14:textId="77777777" w:rsidR="00297ADF" w:rsidRPr="00297ADF" w:rsidRDefault="00297ADF" w:rsidP="00297ADF">
      <w:pPr>
        <w:autoSpaceDE w:val="0"/>
        <w:autoSpaceDN w:val="0"/>
        <w:adjustRightInd w:val="0"/>
        <w:jc w:val="both"/>
        <w:rPr>
          <w:rFonts w:ascii="Arial" w:eastAsia="Calibri" w:hAnsi="Arial" w:cs="Arial"/>
          <w:sz w:val="20"/>
          <w:szCs w:val="20"/>
        </w:rPr>
      </w:pPr>
    </w:p>
    <w:p w14:paraId="3C8CAA32"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Los estados financieros del Gobierno Estatal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14:paraId="7B6A1B93" w14:textId="77777777" w:rsidR="00297ADF" w:rsidRPr="00297ADF" w:rsidRDefault="00297ADF" w:rsidP="00297ADF">
      <w:pPr>
        <w:autoSpaceDE w:val="0"/>
        <w:autoSpaceDN w:val="0"/>
        <w:adjustRightInd w:val="0"/>
        <w:jc w:val="both"/>
        <w:rPr>
          <w:rFonts w:ascii="Arial" w:eastAsia="Calibri" w:hAnsi="Arial" w:cs="Arial"/>
          <w:sz w:val="20"/>
          <w:szCs w:val="20"/>
        </w:rPr>
      </w:pPr>
    </w:p>
    <w:p w14:paraId="30B0C752"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Preparación</w:t>
      </w:r>
    </w:p>
    <w:p w14:paraId="08DB6471" w14:textId="77777777" w:rsidR="00297ADF" w:rsidRPr="00297ADF" w:rsidRDefault="00297ADF" w:rsidP="00297ADF">
      <w:pPr>
        <w:autoSpaceDE w:val="0"/>
        <w:autoSpaceDN w:val="0"/>
        <w:adjustRightInd w:val="0"/>
        <w:jc w:val="both"/>
        <w:rPr>
          <w:rFonts w:ascii="Arial" w:eastAsia="Calibri" w:hAnsi="Arial" w:cs="Arial"/>
          <w:sz w:val="20"/>
          <w:szCs w:val="20"/>
        </w:rPr>
      </w:pPr>
    </w:p>
    <w:p w14:paraId="63A8F9BF"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Para la integración de los estados financieros del Gobierno Estatal, los saldos se determinaron a partir de la información proporcionada por cada uno de los centros contables de las dependencias y órganos desconcentrados, que conforman los poderes Ejecutivo, Legislativo y Judicial, y los 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técnicos-financieros emitidos por la Secretaría de Hacienda del Estado, a través de la Dirección de Contabilidad Gubernamental.</w:t>
      </w:r>
    </w:p>
    <w:p w14:paraId="64820527" w14:textId="77777777" w:rsidR="00297ADF" w:rsidRPr="00297ADF" w:rsidRDefault="00297ADF" w:rsidP="00297ADF">
      <w:pPr>
        <w:autoSpaceDE w:val="0"/>
        <w:autoSpaceDN w:val="0"/>
        <w:adjustRightInd w:val="0"/>
        <w:jc w:val="both"/>
        <w:rPr>
          <w:rFonts w:ascii="Arial" w:eastAsia="Calibri" w:hAnsi="Arial" w:cs="Arial"/>
          <w:sz w:val="20"/>
          <w:szCs w:val="20"/>
        </w:rPr>
      </w:pPr>
    </w:p>
    <w:p w14:paraId="6B0C912B"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14:paraId="5C29FCF4" w14:textId="77777777" w:rsidR="00297ADF" w:rsidRPr="00297ADF" w:rsidRDefault="00297ADF" w:rsidP="00297ADF">
      <w:pPr>
        <w:autoSpaceDE w:val="0"/>
        <w:autoSpaceDN w:val="0"/>
        <w:adjustRightInd w:val="0"/>
        <w:jc w:val="both"/>
        <w:rPr>
          <w:rFonts w:ascii="Arial" w:eastAsia="Calibri" w:hAnsi="Arial" w:cs="Arial"/>
          <w:sz w:val="20"/>
          <w:szCs w:val="20"/>
        </w:rPr>
      </w:pPr>
    </w:p>
    <w:p w14:paraId="51DA10DB"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Al 31 de marzo de 2024, se han realizado las actualizaciones a los marcos normativos contables y presupuestarios, así como, los instrumentos técnicos, para lograr el cumplimiento de los objetivos a nivel nacional, considerando en primera </w:t>
      </w:r>
      <w:r w:rsidRPr="00297ADF">
        <w:rPr>
          <w:rFonts w:ascii="Arial" w:eastAsia="Calibri" w:hAnsi="Arial" w:cs="Arial"/>
          <w:sz w:val="20"/>
          <w:szCs w:val="20"/>
        </w:rPr>
        <w:lastRenderedPageBreak/>
        <w:t>instancia el Marco Conceptual de Contabilidad Gubernamental, y demás documentos técnicos, emitidos por el 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14:paraId="35C570D5" w14:textId="77777777" w:rsidR="00297ADF" w:rsidRPr="00297ADF" w:rsidRDefault="00297ADF" w:rsidP="00297ADF">
      <w:pPr>
        <w:autoSpaceDE w:val="0"/>
        <w:autoSpaceDN w:val="0"/>
        <w:adjustRightInd w:val="0"/>
        <w:jc w:val="both"/>
        <w:rPr>
          <w:rFonts w:ascii="Arial" w:eastAsia="Calibri" w:hAnsi="Arial" w:cs="Arial"/>
          <w:sz w:val="20"/>
          <w:szCs w:val="20"/>
        </w:rPr>
      </w:pPr>
    </w:p>
    <w:p w14:paraId="72867BF5"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Se incorporan en la contabilidad los momentos contables de los ingresos y de los egresos, considerando además las normas y metodología para la emisión de información financiera.</w:t>
      </w:r>
    </w:p>
    <w:p w14:paraId="2C4E6B61" w14:textId="77777777" w:rsidR="00297ADF" w:rsidRPr="00297ADF" w:rsidRDefault="00297ADF" w:rsidP="00297ADF">
      <w:pPr>
        <w:autoSpaceDE w:val="0"/>
        <w:autoSpaceDN w:val="0"/>
        <w:adjustRightInd w:val="0"/>
        <w:jc w:val="both"/>
        <w:rPr>
          <w:rFonts w:ascii="Arial" w:eastAsia="Calibri" w:hAnsi="Arial" w:cs="Arial"/>
          <w:sz w:val="20"/>
          <w:szCs w:val="20"/>
        </w:rPr>
      </w:pPr>
    </w:p>
    <w:p w14:paraId="577A2800"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Políticas de contabilidad significativas</w:t>
      </w:r>
    </w:p>
    <w:p w14:paraId="045D77F2" w14:textId="77777777" w:rsidR="00297ADF" w:rsidRPr="00297ADF" w:rsidRDefault="00297ADF" w:rsidP="00297ADF">
      <w:pPr>
        <w:autoSpaceDE w:val="0"/>
        <w:autoSpaceDN w:val="0"/>
        <w:adjustRightInd w:val="0"/>
        <w:jc w:val="both"/>
        <w:rPr>
          <w:rFonts w:ascii="Arial" w:eastAsia="Calibri" w:hAnsi="Arial" w:cs="Arial"/>
          <w:sz w:val="20"/>
          <w:szCs w:val="20"/>
        </w:rPr>
      </w:pPr>
    </w:p>
    <w:p w14:paraId="10CF40A1"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El “Sistema de Contabilidad Gubernamental” (SCG), regula las operaciones realizadas en cada ente público, centros 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14:paraId="79EF1F6D" w14:textId="77777777" w:rsidR="00297ADF" w:rsidRPr="00297ADF" w:rsidRDefault="00297ADF" w:rsidP="00297ADF">
      <w:pPr>
        <w:tabs>
          <w:tab w:val="left" w:pos="5280"/>
        </w:tabs>
        <w:jc w:val="both"/>
        <w:rPr>
          <w:rFonts w:ascii="Arial" w:eastAsia="Calibri" w:hAnsi="Arial" w:cs="Arial"/>
          <w:sz w:val="20"/>
          <w:szCs w:val="20"/>
        </w:rPr>
      </w:pPr>
    </w:p>
    <w:p w14:paraId="6595889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 xml:space="preserve">El SCG está integrado de cuatro subsistemas relacionados entre sí por medio de mecanismos de vinculación y de consolidación de la información, estos subsistemas son </w:t>
      </w:r>
      <w:r w:rsidRPr="00297ADF">
        <w:rPr>
          <w:rFonts w:ascii="Arial" w:eastAsia="Calibri" w:hAnsi="Arial" w:cs="Arial"/>
          <w:b/>
          <w:bCs/>
          <w:sz w:val="20"/>
          <w:szCs w:val="20"/>
        </w:rPr>
        <w:t>ingresos</w:t>
      </w:r>
      <w:r w:rsidRPr="00297ADF">
        <w:rPr>
          <w:rFonts w:ascii="Arial" w:eastAsia="Calibri" w:hAnsi="Arial" w:cs="Arial"/>
          <w:bCs/>
          <w:sz w:val="20"/>
          <w:szCs w:val="20"/>
        </w:rPr>
        <w:t>,</w:t>
      </w:r>
      <w:r w:rsidRPr="00297ADF">
        <w:rPr>
          <w:rFonts w:ascii="Arial" w:eastAsia="Calibri" w:hAnsi="Arial" w:cs="Arial"/>
          <w:sz w:val="20"/>
          <w:szCs w:val="20"/>
        </w:rPr>
        <w:t xml:space="preserve"> el cual se encarga de registrar los ingresos públicos establecidos en ley, </w:t>
      </w:r>
      <w:r w:rsidRPr="00297ADF">
        <w:rPr>
          <w:rFonts w:ascii="Arial" w:eastAsia="Calibri" w:hAnsi="Arial" w:cs="Arial"/>
          <w:b/>
          <w:bCs/>
          <w:sz w:val="20"/>
          <w:szCs w:val="20"/>
        </w:rPr>
        <w:t>fondos estatales</w:t>
      </w:r>
      <w:r w:rsidRPr="00297ADF">
        <w:rPr>
          <w:rFonts w:ascii="Arial" w:eastAsia="Calibri" w:hAnsi="Arial" w:cs="Arial"/>
          <w:sz w:val="20"/>
          <w:szCs w:val="20"/>
        </w:rPr>
        <w:t xml:space="preserve">, subsistema que administra y controla los recursos monetarios del erario estatal, </w:t>
      </w:r>
      <w:r w:rsidRPr="00297ADF">
        <w:rPr>
          <w:rFonts w:ascii="Arial" w:eastAsia="Calibri" w:hAnsi="Arial" w:cs="Arial"/>
          <w:b/>
          <w:bCs/>
          <w:sz w:val="20"/>
          <w:szCs w:val="20"/>
        </w:rPr>
        <w:t>egresos</w:t>
      </w:r>
      <w:r w:rsidRPr="00297ADF">
        <w:rPr>
          <w:rFonts w:ascii="Arial" w:eastAsia="Calibri" w:hAnsi="Arial" w:cs="Arial"/>
          <w:sz w:val="20"/>
          <w:szCs w:val="20"/>
        </w:rPr>
        <w:t xml:space="preserve">, registra todas las erogaciones que se establecen dentro del presupuesto de egresos del Estado y por último </w:t>
      </w:r>
      <w:r w:rsidRPr="00297ADF">
        <w:rPr>
          <w:rFonts w:ascii="Arial" w:eastAsia="Calibri" w:hAnsi="Arial" w:cs="Arial"/>
          <w:b/>
          <w:bCs/>
          <w:sz w:val="20"/>
          <w:szCs w:val="20"/>
        </w:rPr>
        <w:t>deuda pública</w:t>
      </w:r>
      <w:r w:rsidRPr="00297ADF">
        <w:rPr>
          <w:rFonts w:ascii="Arial" w:eastAsia="Calibri" w:hAnsi="Arial" w:cs="Arial"/>
          <w:bCs/>
          <w:sz w:val="20"/>
          <w:szCs w:val="20"/>
        </w:rPr>
        <w:t>,</w:t>
      </w:r>
      <w:r w:rsidRPr="00297ADF">
        <w:rPr>
          <w:rFonts w:ascii="Arial" w:eastAsia="Calibri" w:hAnsi="Arial" w:cs="Arial"/>
          <w:sz w:val="20"/>
          <w:szCs w:val="20"/>
        </w:rPr>
        <w:t xml:space="preserve"> quien registra las operaciones derivadas de la administración de la deuda. </w:t>
      </w:r>
    </w:p>
    <w:p w14:paraId="34A6DE28" w14:textId="77777777" w:rsidR="00297ADF" w:rsidRPr="00297ADF" w:rsidRDefault="00297ADF" w:rsidP="00297ADF">
      <w:pPr>
        <w:tabs>
          <w:tab w:val="left" w:pos="5280"/>
        </w:tabs>
        <w:jc w:val="both"/>
        <w:rPr>
          <w:rFonts w:ascii="Arial" w:eastAsia="Calibri" w:hAnsi="Arial" w:cs="Arial"/>
          <w:sz w:val="20"/>
          <w:szCs w:val="20"/>
        </w:rPr>
      </w:pPr>
    </w:p>
    <w:p w14:paraId="00A56653"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 xml:space="preserve">El registro de las operaciones está en apego a los Postulados Básicos de Contabilidad Gubernamental y a las normas y manuales vigentes; las dependencias del Gobierno central, poderes Legislativo y Judicial, y órganos autónomos como responsables de realizar sus registros contables producto de las operaciones que realizan, registran los gastos como tales en el momento en que se devenguen y los ingresos en el momento en que se tenga el derecho jurídico a percibirlos. </w:t>
      </w:r>
    </w:p>
    <w:p w14:paraId="64531DB2" w14:textId="77777777" w:rsidR="00297ADF" w:rsidRPr="00297ADF" w:rsidRDefault="00297ADF" w:rsidP="00297ADF">
      <w:pPr>
        <w:jc w:val="both"/>
        <w:rPr>
          <w:rFonts w:ascii="Arial" w:eastAsia="Calibri" w:hAnsi="Arial" w:cs="Arial"/>
          <w:sz w:val="20"/>
          <w:szCs w:val="20"/>
        </w:rPr>
      </w:pPr>
    </w:p>
    <w:p w14:paraId="63A7218F"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 xml:space="preserve">Los libros obligatorios de acuerdo a la normatividad contable, en donde deben registrar las operaciones que realizan los entes públicos son: el </w:t>
      </w:r>
      <w:r w:rsidRPr="00297ADF">
        <w:rPr>
          <w:rFonts w:ascii="Arial" w:eastAsia="Calibri" w:hAnsi="Arial" w:cs="Arial"/>
          <w:bCs/>
          <w:sz w:val="20"/>
          <w:szCs w:val="20"/>
        </w:rPr>
        <w:t xml:space="preserve">libro diario, libro mayor, libro de inventarios, libro de almacén, y balances, </w:t>
      </w:r>
      <w:r w:rsidRPr="00297ADF">
        <w:rPr>
          <w:rFonts w:ascii="Arial" w:eastAsia="Calibri" w:hAnsi="Arial" w:cs="Arial"/>
          <w:sz w:val="20"/>
          <w:szCs w:val="20"/>
        </w:rPr>
        <w:t>los cuales contienen y conservan información financiera, hechos y cifras expresados en unidades monetarias, para facilitar la toma de decisiones.</w:t>
      </w:r>
    </w:p>
    <w:p w14:paraId="1DBF65D6" w14:textId="77777777" w:rsidR="00297ADF" w:rsidRPr="00297ADF" w:rsidRDefault="00297ADF" w:rsidP="00297ADF">
      <w:pPr>
        <w:jc w:val="both"/>
        <w:rPr>
          <w:rFonts w:ascii="Arial" w:eastAsia="Calibri" w:hAnsi="Arial" w:cs="Arial"/>
          <w:sz w:val="20"/>
          <w:szCs w:val="20"/>
        </w:rPr>
      </w:pPr>
    </w:p>
    <w:p w14:paraId="52B27205"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El control interno comprende el plan de organización y todos los métodos y procedimientos que en forma coordinada adoptan los entes públicos para salvaguardar los activos, verificar la razonabilidad y confiabilidad de la información contable, y promover la eficiencia operacional y la adherencia a la normatividad vigente.</w:t>
      </w:r>
    </w:p>
    <w:p w14:paraId="22CD1B43" w14:textId="77777777" w:rsidR="00297ADF" w:rsidRPr="00297ADF" w:rsidRDefault="00297ADF" w:rsidP="00297ADF">
      <w:pPr>
        <w:jc w:val="both"/>
        <w:rPr>
          <w:rFonts w:ascii="Arial" w:eastAsia="Calibri" w:hAnsi="Arial" w:cs="Arial"/>
          <w:sz w:val="20"/>
          <w:szCs w:val="20"/>
        </w:rPr>
      </w:pPr>
    </w:p>
    <w:p w14:paraId="319B8CF7"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La consolidación de información financiera, es el resultado en su conjunto de la agrupación de la información financiera que generan los entes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14:paraId="377BBF57" w14:textId="77777777" w:rsidR="00297ADF" w:rsidRPr="00297ADF" w:rsidRDefault="00297ADF" w:rsidP="00297ADF">
      <w:pPr>
        <w:tabs>
          <w:tab w:val="left" w:pos="5280"/>
        </w:tabs>
        <w:jc w:val="both"/>
        <w:rPr>
          <w:rFonts w:ascii="Arial" w:eastAsia="Calibri" w:hAnsi="Arial" w:cs="Arial"/>
          <w:sz w:val="20"/>
          <w:szCs w:val="20"/>
        </w:rPr>
      </w:pPr>
    </w:p>
    <w:p w14:paraId="21683DC1"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Posición en moneda extranjera y protección por riesgo cambiario</w:t>
      </w:r>
    </w:p>
    <w:p w14:paraId="3715E417" w14:textId="77777777" w:rsidR="00297ADF" w:rsidRPr="00297ADF" w:rsidRDefault="00297ADF" w:rsidP="00297ADF">
      <w:pPr>
        <w:autoSpaceDE w:val="0"/>
        <w:autoSpaceDN w:val="0"/>
        <w:adjustRightInd w:val="0"/>
        <w:jc w:val="both"/>
        <w:rPr>
          <w:rFonts w:ascii="Arial" w:eastAsia="Calibri" w:hAnsi="Arial" w:cs="Arial"/>
          <w:sz w:val="20"/>
          <w:szCs w:val="20"/>
        </w:rPr>
      </w:pPr>
    </w:p>
    <w:p w14:paraId="5DDC0B10"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Al 31 de marzo de 2024, el Gobierno del estado de Chiapas, no tiene operaciones en moneda extranjera, por lo que no se crean activos y pasivos, ni se tiene posición en moneda extranjera, además, no existe riesgo cambiario, que pueda ejercer influencia en la toma de decisiones.</w:t>
      </w:r>
    </w:p>
    <w:p w14:paraId="5DA1544E" w14:textId="77777777" w:rsidR="00297ADF" w:rsidRPr="00297ADF" w:rsidRDefault="00297ADF" w:rsidP="00297ADF">
      <w:pPr>
        <w:autoSpaceDE w:val="0"/>
        <w:autoSpaceDN w:val="0"/>
        <w:adjustRightInd w:val="0"/>
        <w:jc w:val="both"/>
        <w:outlineLvl w:val="0"/>
        <w:rPr>
          <w:rFonts w:ascii="Arial" w:eastAsia="Calibri" w:hAnsi="Arial" w:cs="Arial"/>
          <w:b/>
          <w:bCs/>
          <w:sz w:val="20"/>
          <w:szCs w:val="20"/>
        </w:rPr>
      </w:pPr>
    </w:p>
    <w:p w14:paraId="112C18F8"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Reporte analítico del activo</w:t>
      </w:r>
    </w:p>
    <w:p w14:paraId="63C69365" w14:textId="77777777" w:rsidR="00297ADF" w:rsidRPr="00297ADF" w:rsidRDefault="00297ADF" w:rsidP="00297ADF">
      <w:pPr>
        <w:jc w:val="both"/>
        <w:rPr>
          <w:rFonts w:ascii="Arial" w:eastAsia="Calibri" w:hAnsi="Arial" w:cs="Arial"/>
          <w:sz w:val="20"/>
          <w:szCs w:val="20"/>
        </w:rPr>
      </w:pPr>
    </w:p>
    <w:p w14:paraId="54117776"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en estas reglas, los activos del Gobierno Estatal, sitúa la valoración de sus bienes tangibles e intangibles aplicando la depreciación y amortización, utilizando el procedimiento establecido por el Consejo Nacional de Armonización Contable (CONAC).</w:t>
      </w:r>
    </w:p>
    <w:p w14:paraId="2D992193"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Fideicomisos, mandatos y análogos</w:t>
      </w:r>
    </w:p>
    <w:p w14:paraId="66A9C331" w14:textId="77777777" w:rsidR="00297ADF" w:rsidRPr="00297ADF" w:rsidRDefault="00297ADF" w:rsidP="00297ADF">
      <w:pPr>
        <w:autoSpaceDE w:val="0"/>
        <w:autoSpaceDN w:val="0"/>
        <w:adjustRightInd w:val="0"/>
        <w:jc w:val="both"/>
        <w:outlineLvl w:val="0"/>
        <w:rPr>
          <w:rFonts w:ascii="Arial" w:eastAsia="Calibri" w:hAnsi="Arial" w:cs="Arial"/>
          <w:b/>
          <w:bCs/>
          <w:sz w:val="20"/>
          <w:szCs w:val="20"/>
        </w:rPr>
      </w:pPr>
    </w:p>
    <w:p w14:paraId="19B210E2"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Los fideicomisos, mandatos y contratos análogos presentados en los estados financieros del Gobierno del estado de Chiapas, ascienden a un importe de $ 747,776,741 pesos y se encuentran registrados en el activo no circulante, los cuales se muestran a continuación:</w:t>
      </w:r>
    </w:p>
    <w:p w14:paraId="5F3E7F06" w14:textId="77777777" w:rsidR="00297ADF" w:rsidRPr="00297ADF" w:rsidRDefault="00297ADF" w:rsidP="00297ADF">
      <w:pPr>
        <w:autoSpaceDE w:val="0"/>
        <w:autoSpaceDN w:val="0"/>
        <w:adjustRightInd w:val="0"/>
        <w:jc w:val="both"/>
        <w:rPr>
          <w:rFonts w:ascii="Arial" w:eastAsia="Calibri" w:hAnsi="Arial" w:cs="Arial"/>
          <w:sz w:val="20"/>
          <w:szCs w:val="20"/>
        </w:rPr>
      </w:pPr>
    </w:p>
    <w:p w14:paraId="5BC3E354" w14:textId="77777777" w:rsidR="00297ADF" w:rsidRPr="00297ADF" w:rsidRDefault="00297ADF" w:rsidP="00167C29">
      <w:pPr>
        <w:autoSpaceDE w:val="0"/>
        <w:autoSpaceDN w:val="0"/>
        <w:adjustRightInd w:val="0"/>
        <w:jc w:val="center"/>
        <w:rPr>
          <w:rFonts w:ascii="Arial" w:eastAsia="Calibri" w:hAnsi="Arial" w:cs="Arial"/>
          <w:noProof/>
          <w:sz w:val="20"/>
          <w:szCs w:val="20"/>
          <w:lang w:eastAsia="es-MX"/>
        </w:rPr>
      </w:pPr>
      <w:r w:rsidRPr="00297ADF">
        <w:rPr>
          <w:noProof/>
          <w:lang w:eastAsia="es-MX"/>
        </w:rPr>
        <w:drawing>
          <wp:inline distT="0" distB="0" distL="0" distR="0" wp14:anchorId="1CDEDDD0" wp14:editId="2CF03E5E">
            <wp:extent cx="6331585" cy="5414817"/>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1585" cy="5414817"/>
                    </a:xfrm>
                    <a:prstGeom prst="rect">
                      <a:avLst/>
                    </a:prstGeom>
                    <a:noFill/>
                    <a:ln>
                      <a:noFill/>
                    </a:ln>
                  </pic:spPr>
                </pic:pic>
              </a:graphicData>
            </a:graphic>
          </wp:inline>
        </w:drawing>
      </w:r>
    </w:p>
    <w:p w14:paraId="04F4E449" w14:textId="77777777" w:rsidR="00297ADF" w:rsidRPr="00297ADF" w:rsidRDefault="00297ADF" w:rsidP="00297ADF">
      <w:pPr>
        <w:numPr>
          <w:ilvl w:val="1"/>
          <w:numId w:val="0"/>
        </w:numPr>
        <w:jc w:val="both"/>
        <w:rPr>
          <w:rFonts w:ascii="Arial" w:eastAsia="Times New Roman" w:hAnsi="Arial" w:cs="Times New Roman"/>
          <w:b/>
          <w:sz w:val="20"/>
        </w:rPr>
      </w:pPr>
    </w:p>
    <w:p w14:paraId="41E68508" w14:textId="77777777" w:rsidR="00297ADF" w:rsidRPr="00297ADF" w:rsidRDefault="00297ADF" w:rsidP="00297ADF">
      <w:pPr>
        <w:numPr>
          <w:ilvl w:val="1"/>
          <w:numId w:val="0"/>
        </w:numPr>
        <w:jc w:val="both"/>
        <w:rPr>
          <w:rFonts w:ascii="Arial" w:eastAsia="Times New Roman" w:hAnsi="Arial" w:cs="Times New Roman"/>
          <w:b/>
          <w:sz w:val="20"/>
        </w:rPr>
      </w:pPr>
    </w:p>
    <w:p w14:paraId="438A6CCE"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Reporte de la recaudación</w:t>
      </w:r>
    </w:p>
    <w:p w14:paraId="307D0011" w14:textId="77777777" w:rsidR="00297ADF" w:rsidRPr="00297ADF" w:rsidRDefault="00297ADF" w:rsidP="00297ADF">
      <w:pPr>
        <w:autoSpaceDE w:val="0"/>
        <w:autoSpaceDN w:val="0"/>
        <w:adjustRightInd w:val="0"/>
        <w:jc w:val="both"/>
        <w:rPr>
          <w:rFonts w:ascii="Arial" w:eastAsia="Calibri" w:hAnsi="Arial" w:cs="Arial"/>
          <w:sz w:val="20"/>
          <w:szCs w:val="20"/>
        </w:rPr>
      </w:pPr>
    </w:p>
    <w:p w14:paraId="46784ED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Análisis del comportamiento de la recaudación.</w:t>
      </w:r>
    </w:p>
    <w:p w14:paraId="10764117" w14:textId="77777777" w:rsidR="00297ADF" w:rsidRPr="00297ADF" w:rsidRDefault="00297ADF" w:rsidP="00297ADF">
      <w:pPr>
        <w:tabs>
          <w:tab w:val="left" w:pos="5280"/>
        </w:tabs>
        <w:jc w:val="both"/>
        <w:rPr>
          <w:rFonts w:ascii="Arial" w:eastAsia="Calibri" w:hAnsi="Arial" w:cs="Arial"/>
          <w:sz w:val="20"/>
          <w:szCs w:val="20"/>
        </w:rPr>
      </w:pPr>
    </w:p>
    <w:p w14:paraId="23ABC9C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Los ingresos obtenidos al 31 de marzo de 2024, como resultado de la política de recaudación aplicada por el Gobierno Estatal, asciende a un monto de $ 33,112,548,996 pesos, los cuales se integran principalmente por ingresos de la gestión por un importe de $ 33,106,560,907 pesos y representa el 99.9 % del total de los ingresos presentados en el estado de actividades consolidado, entre los que destacan los provenientes de participaciones, aportaciones, convenios, incentivos derivados de la colaboración fiscal y fondos distintos de aportaciones, así como, transferencias, asignaciones, subsidios y subvenciones, y pensiones y jubilaciones; y en menor medida los derivados de otros ingresos y beneficios, por un importe de $ 5,988,089 pesos y equivale al 0.1 % del total de los ingresos.</w:t>
      </w:r>
    </w:p>
    <w:p w14:paraId="10698B07" w14:textId="77777777" w:rsidR="00297ADF" w:rsidRPr="00297ADF" w:rsidRDefault="00297ADF" w:rsidP="00297ADF">
      <w:pPr>
        <w:tabs>
          <w:tab w:val="left" w:pos="5280"/>
        </w:tabs>
        <w:jc w:val="both"/>
        <w:rPr>
          <w:rFonts w:ascii="Arial" w:eastAsia="Calibri" w:hAnsi="Arial" w:cs="Arial"/>
          <w:sz w:val="20"/>
          <w:szCs w:val="20"/>
        </w:rPr>
      </w:pPr>
    </w:p>
    <w:p w14:paraId="3C073EF2" w14:textId="77777777" w:rsidR="00297ADF" w:rsidRPr="00297ADF" w:rsidRDefault="00297ADF" w:rsidP="00167C29">
      <w:pPr>
        <w:tabs>
          <w:tab w:val="left" w:pos="5280"/>
        </w:tabs>
        <w:jc w:val="center"/>
        <w:rPr>
          <w:rFonts w:ascii="Arial" w:eastAsia="Calibri" w:hAnsi="Arial" w:cs="Arial"/>
          <w:sz w:val="20"/>
          <w:szCs w:val="20"/>
        </w:rPr>
      </w:pPr>
      <w:r w:rsidRPr="00297ADF">
        <w:rPr>
          <w:noProof/>
          <w:lang w:eastAsia="es-MX"/>
        </w:rPr>
        <w:lastRenderedPageBreak/>
        <w:drawing>
          <wp:inline distT="0" distB="0" distL="0" distR="0" wp14:anchorId="179572C5" wp14:editId="5B60A224">
            <wp:extent cx="6331585" cy="371558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1585" cy="3715584"/>
                    </a:xfrm>
                    <a:prstGeom prst="rect">
                      <a:avLst/>
                    </a:prstGeom>
                    <a:noFill/>
                    <a:ln>
                      <a:noFill/>
                    </a:ln>
                  </pic:spPr>
                </pic:pic>
              </a:graphicData>
            </a:graphic>
          </wp:inline>
        </w:drawing>
      </w:r>
    </w:p>
    <w:p w14:paraId="7D06949D" w14:textId="77777777" w:rsidR="00297ADF" w:rsidRPr="00297ADF" w:rsidRDefault="00297ADF" w:rsidP="00297ADF">
      <w:pPr>
        <w:numPr>
          <w:ilvl w:val="1"/>
          <w:numId w:val="0"/>
        </w:numPr>
        <w:jc w:val="both"/>
        <w:rPr>
          <w:rFonts w:ascii="Arial" w:eastAsia="Times New Roman" w:hAnsi="Arial" w:cs="Times New Roman"/>
          <w:b/>
          <w:sz w:val="20"/>
        </w:rPr>
      </w:pPr>
    </w:p>
    <w:p w14:paraId="00804EEA" w14:textId="77777777" w:rsidR="00297ADF" w:rsidRPr="00297ADF" w:rsidRDefault="00297ADF" w:rsidP="00297ADF">
      <w:pPr>
        <w:numPr>
          <w:ilvl w:val="1"/>
          <w:numId w:val="0"/>
        </w:numPr>
        <w:jc w:val="both"/>
        <w:rPr>
          <w:rFonts w:ascii="Arial" w:eastAsia="Times New Roman" w:hAnsi="Arial" w:cs="Times New Roman"/>
          <w:b/>
          <w:sz w:val="20"/>
        </w:rPr>
      </w:pPr>
    </w:p>
    <w:p w14:paraId="55600E7E"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Información sobre la deuda y el reporte analítico de la deuda</w:t>
      </w:r>
    </w:p>
    <w:p w14:paraId="6118ED69" w14:textId="77777777" w:rsidR="00297ADF" w:rsidRPr="00297ADF" w:rsidRDefault="00297ADF" w:rsidP="00297ADF">
      <w:pPr>
        <w:tabs>
          <w:tab w:val="left" w:pos="5280"/>
        </w:tabs>
        <w:jc w:val="both"/>
        <w:rPr>
          <w:rFonts w:ascii="Arial" w:eastAsia="Calibri" w:hAnsi="Arial" w:cs="Arial"/>
          <w:sz w:val="20"/>
          <w:szCs w:val="20"/>
        </w:rPr>
      </w:pPr>
    </w:p>
    <w:p w14:paraId="1458C132"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El reporte analítico de la deuda, muestra la información revelada de las operaciones de crédito público, por un importe de $ 14,594,136,754 pesos, con intereses de $ 336,887,283 pesos, y otros gastos de la deuda pública por $ 1,307,554 pesos.</w:t>
      </w:r>
    </w:p>
    <w:p w14:paraId="2BF84BCB" w14:textId="77777777" w:rsidR="00297ADF" w:rsidRPr="00297ADF" w:rsidRDefault="00297ADF" w:rsidP="00297ADF">
      <w:pPr>
        <w:tabs>
          <w:tab w:val="left" w:pos="5280"/>
        </w:tabs>
        <w:jc w:val="both"/>
        <w:rPr>
          <w:rFonts w:ascii="Arial" w:eastAsia="Calibri" w:hAnsi="Arial" w:cs="Arial"/>
          <w:sz w:val="20"/>
          <w:szCs w:val="20"/>
        </w:rPr>
      </w:pPr>
    </w:p>
    <w:p w14:paraId="6F808029" w14:textId="77777777" w:rsidR="00297ADF" w:rsidRPr="00297ADF" w:rsidRDefault="00297ADF" w:rsidP="00167C29">
      <w:pPr>
        <w:tabs>
          <w:tab w:val="left" w:pos="5280"/>
        </w:tabs>
        <w:jc w:val="center"/>
        <w:rPr>
          <w:rFonts w:ascii="Arial" w:eastAsia="Calibri" w:hAnsi="Arial" w:cs="Arial"/>
          <w:sz w:val="20"/>
          <w:szCs w:val="20"/>
        </w:rPr>
      </w:pPr>
      <w:r w:rsidRPr="00297ADF">
        <w:rPr>
          <w:noProof/>
          <w:lang w:eastAsia="es-MX"/>
        </w:rPr>
        <w:drawing>
          <wp:inline distT="0" distB="0" distL="0" distR="0" wp14:anchorId="25393039" wp14:editId="1DFBB8D3">
            <wp:extent cx="6331585" cy="3489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1585" cy="3489850"/>
                    </a:xfrm>
                    <a:prstGeom prst="rect">
                      <a:avLst/>
                    </a:prstGeom>
                    <a:noFill/>
                    <a:ln>
                      <a:noFill/>
                    </a:ln>
                  </pic:spPr>
                </pic:pic>
              </a:graphicData>
            </a:graphic>
          </wp:inline>
        </w:drawing>
      </w:r>
    </w:p>
    <w:p w14:paraId="2FC1A7CC" w14:textId="77777777" w:rsidR="00297ADF" w:rsidRPr="00297ADF" w:rsidRDefault="00297ADF" w:rsidP="00297ADF">
      <w:pPr>
        <w:tabs>
          <w:tab w:val="left" w:pos="5280"/>
        </w:tabs>
        <w:jc w:val="both"/>
        <w:rPr>
          <w:rFonts w:ascii="Arial" w:eastAsia="Calibri" w:hAnsi="Arial" w:cs="Arial"/>
          <w:sz w:val="20"/>
          <w:szCs w:val="20"/>
        </w:rPr>
      </w:pPr>
    </w:p>
    <w:p w14:paraId="334EFD2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lastRenderedPageBreak/>
        <w:t>Así también, se presentan los indicadores de la deuda pública con respecto al Producto Interno Bruto (PIB), los cuales reflejan la siguiente evolución, al 31 de marzo de 2024.</w:t>
      </w:r>
    </w:p>
    <w:p w14:paraId="7853666F" w14:textId="77777777" w:rsidR="00297ADF" w:rsidRPr="00297ADF" w:rsidRDefault="00297ADF" w:rsidP="00297ADF">
      <w:pPr>
        <w:tabs>
          <w:tab w:val="left" w:pos="5280"/>
        </w:tabs>
        <w:jc w:val="both"/>
        <w:rPr>
          <w:rFonts w:ascii="Arial" w:eastAsia="Calibri" w:hAnsi="Arial" w:cs="Arial"/>
          <w:sz w:val="20"/>
          <w:szCs w:val="20"/>
        </w:rPr>
      </w:pPr>
    </w:p>
    <w:p w14:paraId="328DAE48" w14:textId="77777777" w:rsidR="00297ADF" w:rsidRPr="00297ADF" w:rsidRDefault="00297ADF" w:rsidP="00167C29">
      <w:pPr>
        <w:jc w:val="center"/>
        <w:rPr>
          <w:rFonts w:ascii="Arial" w:eastAsia="Calibri" w:hAnsi="Arial" w:cs="Arial"/>
          <w:b/>
          <w:bCs/>
          <w:caps/>
          <w:sz w:val="20"/>
          <w:szCs w:val="20"/>
        </w:rPr>
      </w:pPr>
      <w:r w:rsidRPr="00297ADF">
        <w:rPr>
          <w:noProof/>
          <w:lang w:eastAsia="es-MX"/>
        </w:rPr>
        <w:drawing>
          <wp:inline distT="0" distB="0" distL="0" distR="0" wp14:anchorId="5CEE4061" wp14:editId="3B28BF40">
            <wp:extent cx="6331585" cy="16491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1585" cy="1649187"/>
                    </a:xfrm>
                    <a:prstGeom prst="rect">
                      <a:avLst/>
                    </a:prstGeom>
                    <a:noFill/>
                    <a:ln>
                      <a:noFill/>
                    </a:ln>
                  </pic:spPr>
                </pic:pic>
              </a:graphicData>
            </a:graphic>
          </wp:inline>
        </w:drawing>
      </w:r>
    </w:p>
    <w:p w14:paraId="0063C0AC" w14:textId="77777777" w:rsidR="00297ADF" w:rsidRPr="00297ADF" w:rsidRDefault="00297ADF" w:rsidP="00297ADF">
      <w:pPr>
        <w:numPr>
          <w:ilvl w:val="1"/>
          <w:numId w:val="0"/>
        </w:numPr>
        <w:jc w:val="both"/>
        <w:rPr>
          <w:rFonts w:ascii="Arial" w:eastAsia="Times New Roman" w:hAnsi="Arial" w:cs="Times New Roman"/>
          <w:b/>
          <w:sz w:val="20"/>
        </w:rPr>
      </w:pPr>
    </w:p>
    <w:p w14:paraId="0DE34906" w14:textId="77777777" w:rsidR="00297ADF" w:rsidRPr="00297ADF" w:rsidRDefault="00297ADF" w:rsidP="00297ADF">
      <w:pPr>
        <w:numPr>
          <w:ilvl w:val="1"/>
          <w:numId w:val="0"/>
        </w:numPr>
        <w:jc w:val="both"/>
        <w:rPr>
          <w:rFonts w:ascii="Arial" w:eastAsia="Times New Roman" w:hAnsi="Arial" w:cs="Times New Roman"/>
          <w:b/>
          <w:sz w:val="20"/>
        </w:rPr>
      </w:pPr>
    </w:p>
    <w:p w14:paraId="63752A0B"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Calificaciones otorgadas</w:t>
      </w:r>
    </w:p>
    <w:p w14:paraId="20DADF6A" w14:textId="77777777" w:rsidR="00297ADF" w:rsidRPr="00297ADF" w:rsidRDefault="00297ADF" w:rsidP="00297ADF">
      <w:pPr>
        <w:numPr>
          <w:ilvl w:val="1"/>
          <w:numId w:val="0"/>
        </w:numPr>
        <w:jc w:val="both"/>
        <w:rPr>
          <w:rFonts w:ascii="Arial" w:eastAsia="Times New Roman" w:hAnsi="Arial" w:cs="Times New Roman"/>
          <w:b/>
          <w:sz w:val="20"/>
        </w:rPr>
      </w:pPr>
    </w:p>
    <w:p w14:paraId="07B9B563" w14:textId="77777777" w:rsidR="00297ADF" w:rsidRPr="00297ADF" w:rsidRDefault="00297ADF" w:rsidP="00297ADF">
      <w:pPr>
        <w:tabs>
          <w:tab w:val="left" w:pos="5280"/>
        </w:tabs>
        <w:jc w:val="both"/>
        <w:rPr>
          <w:rFonts w:ascii="Arial" w:hAnsi="Arial" w:cs="Arial"/>
          <w:sz w:val="20"/>
          <w:szCs w:val="20"/>
        </w:rPr>
      </w:pPr>
      <w:r w:rsidRPr="00297ADF">
        <w:rPr>
          <w:rFonts w:ascii="Arial" w:hAnsi="Arial" w:cs="Arial"/>
          <w:sz w:val="20"/>
          <w:szCs w:val="20"/>
        </w:rPr>
        <w:t xml:space="preserve">El Gobierno del Estado de Chiapas, informa </w:t>
      </w:r>
      <w:proofErr w:type="gramStart"/>
      <w:r w:rsidRPr="00297ADF">
        <w:rPr>
          <w:rFonts w:ascii="Arial" w:hAnsi="Arial" w:cs="Arial"/>
          <w:sz w:val="20"/>
          <w:szCs w:val="20"/>
        </w:rPr>
        <w:t>que</w:t>
      </w:r>
      <w:proofErr w:type="gramEnd"/>
      <w:r w:rsidRPr="00297ADF">
        <w:rPr>
          <w:rFonts w:ascii="Arial" w:hAnsi="Arial" w:cs="Arial"/>
          <w:sz w:val="20"/>
          <w:szCs w:val="20"/>
        </w:rPr>
        <w:t xml:space="preserve"> al 31 de marzo de 2024, no presenta calificación crediticia que pueda impactar en la situación y estructura financiera.</w:t>
      </w:r>
    </w:p>
    <w:p w14:paraId="7A703C33" w14:textId="77777777" w:rsidR="00297ADF" w:rsidRPr="00297ADF" w:rsidRDefault="00297ADF" w:rsidP="00297ADF">
      <w:pPr>
        <w:numPr>
          <w:ilvl w:val="1"/>
          <w:numId w:val="0"/>
        </w:numPr>
        <w:jc w:val="both"/>
        <w:rPr>
          <w:rFonts w:ascii="Arial" w:eastAsia="Times New Roman" w:hAnsi="Arial" w:cs="Arial"/>
          <w:sz w:val="20"/>
          <w:szCs w:val="20"/>
          <w:lang w:eastAsia="es-MX"/>
        </w:rPr>
      </w:pPr>
    </w:p>
    <w:p w14:paraId="3EC27B4C"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Proceso de mejora</w:t>
      </w:r>
    </w:p>
    <w:p w14:paraId="4600D55F" w14:textId="77777777" w:rsidR="00297ADF" w:rsidRPr="00297ADF" w:rsidRDefault="00297ADF" w:rsidP="00297ADF">
      <w:pPr>
        <w:autoSpaceDE w:val="0"/>
        <w:autoSpaceDN w:val="0"/>
        <w:adjustRightInd w:val="0"/>
        <w:jc w:val="both"/>
        <w:rPr>
          <w:rFonts w:ascii="Arial" w:eastAsia="Calibri" w:hAnsi="Arial" w:cs="Arial"/>
          <w:sz w:val="20"/>
          <w:szCs w:val="20"/>
        </w:rPr>
      </w:pPr>
    </w:p>
    <w:p w14:paraId="29067149"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14:paraId="7734B3D7" w14:textId="77777777" w:rsidR="00297ADF" w:rsidRPr="00297ADF" w:rsidRDefault="00297ADF" w:rsidP="00297ADF">
      <w:pPr>
        <w:autoSpaceDE w:val="0"/>
        <w:autoSpaceDN w:val="0"/>
        <w:adjustRightInd w:val="0"/>
        <w:jc w:val="both"/>
        <w:rPr>
          <w:rFonts w:ascii="Arial" w:eastAsia="Calibri" w:hAnsi="Arial" w:cs="Arial"/>
          <w:sz w:val="20"/>
          <w:szCs w:val="20"/>
        </w:rPr>
      </w:pPr>
    </w:p>
    <w:p w14:paraId="3BE43365"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Principales políticas de control interno</w:t>
      </w:r>
    </w:p>
    <w:p w14:paraId="3C947FEF" w14:textId="77777777" w:rsidR="00297ADF" w:rsidRPr="00297ADF" w:rsidRDefault="00297ADF" w:rsidP="00297ADF">
      <w:pPr>
        <w:autoSpaceDE w:val="0"/>
        <w:autoSpaceDN w:val="0"/>
        <w:adjustRightInd w:val="0"/>
        <w:jc w:val="both"/>
        <w:rPr>
          <w:rFonts w:ascii="Arial" w:eastAsia="Calibri" w:hAnsi="Arial" w:cs="Arial"/>
          <w:sz w:val="20"/>
          <w:szCs w:val="20"/>
        </w:rPr>
      </w:pPr>
    </w:p>
    <w:p w14:paraId="27FCD04A" w14:textId="77777777" w:rsidR="00297ADF" w:rsidRPr="00297ADF" w:rsidRDefault="00297ADF" w:rsidP="00297ADF">
      <w:pPr>
        <w:numPr>
          <w:ilvl w:val="0"/>
          <w:numId w:val="29"/>
        </w:numPr>
        <w:autoSpaceDE w:val="0"/>
        <w:autoSpaceDN w:val="0"/>
        <w:adjustRightInd w:val="0"/>
        <w:spacing w:after="20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Manual de procedimientos: indica los procedimientos a seguir de forma ordenada en el desarrollo de las actividades; evitando duplicidad de esfuerzos.</w:t>
      </w:r>
    </w:p>
    <w:p w14:paraId="28CF5FE8" w14:textId="77777777" w:rsidR="00297ADF" w:rsidRPr="00297ADF" w:rsidRDefault="00297ADF" w:rsidP="00297ADF">
      <w:pPr>
        <w:numPr>
          <w:ilvl w:val="0"/>
          <w:numId w:val="29"/>
        </w:numPr>
        <w:autoSpaceDE w:val="0"/>
        <w:autoSpaceDN w:val="0"/>
        <w:adjustRightInd w:val="0"/>
        <w:spacing w:after="20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Ley General de Contabilidad Gubernamental (LGCG): Establece los criterios generales que rigen la contabilidad gubernamental y la emisión de información financiera, incluyendo la presupuestaria y programática en forma razonable y transparente.</w:t>
      </w:r>
    </w:p>
    <w:p w14:paraId="369F0386" w14:textId="77777777" w:rsidR="00297ADF" w:rsidRPr="00297ADF" w:rsidRDefault="00297ADF" w:rsidP="00297ADF">
      <w:pPr>
        <w:numPr>
          <w:ilvl w:val="0"/>
          <w:numId w:val="29"/>
        </w:numPr>
        <w:autoSpaceDE w:val="0"/>
        <w:autoSpaceDN w:val="0"/>
        <w:adjustRightInd w:val="0"/>
        <w:spacing w:after="20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Normatividad contable: Tiene por objeto regular el registro contable de los recursos públicos y la preparación de informes financieros de forma armonizada, que dan transparencia para la interpretación, evaluación, fiscalización y entrega de informes; regulando las operaciones contables.</w:t>
      </w:r>
    </w:p>
    <w:p w14:paraId="0D570705" w14:textId="77777777" w:rsidR="00297ADF" w:rsidRPr="00297ADF" w:rsidRDefault="00297ADF" w:rsidP="00297ADF">
      <w:pPr>
        <w:numPr>
          <w:ilvl w:val="0"/>
          <w:numId w:val="29"/>
        </w:numPr>
        <w:autoSpaceDE w:val="0"/>
        <w:autoSpaceDN w:val="0"/>
        <w:adjustRightInd w:val="0"/>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Normas presupuestarias: Indican la forma y términos en que se ejecuta el gasto público, administrándolo con eficiencia, eficacia, economía, transparencia y honradez, para rendir cuentas de los recursos públicos, asimismo, contribuye a fortalecer la armonización presupuestaria y contable.</w:t>
      </w:r>
    </w:p>
    <w:p w14:paraId="5EB50E66" w14:textId="77777777" w:rsidR="00297ADF" w:rsidRPr="00297ADF" w:rsidRDefault="00297ADF" w:rsidP="00297ADF">
      <w:pPr>
        <w:jc w:val="both"/>
        <w:rPr>
          <w:rFonts w:ascii="Arial" w:eastAsia="Calibri" w:hAnsi="Arial" w:cs="Arial"/>
          <w:sz w:val="20"/>
          <w:szCs w:val="20"/>
        </w:rPr>
      </w:pPr>
    </w:p>
    <w:p w14:paraId="62F6591C"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Medidas de desempeño financiero, metas y alcance</w:t>
      </w:r>
    </w:p>
    <w:p w14:paraId="1FC58341" w14:textId="77777777" w:rsidR="00297ADF" w:rsidRPr="00297ADF" w:rsidRDefault="00297ADF" w:rsidP="00297ADF">
      <w:pPr>
        <w:autoSpaceDE w:val="0"/>
        <w:autoSpaceDN w:val="0"/>
        <w:adjustRightInd w:val="0"/>
        <w:jc w:val="both"/>
        <w:rPr>
          <w:rFonts w:ascii="Arial" w:eastAsia="Calibri" w:hAnsi="Arial" w:cs="Arial"/>
          <w:sz w:val="20"/>
          <w:szCs w:val="20"/>
        </w:rPr>
      </w:pPr>
    </w:p>
    <w:p w14:paraId="774926A8"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14:paraId="4C5CF743" w14:textId="77777777" w:rsidR="00297ADF" w:rsidRPr="00297ADF" w:rsidRDefault="00297ADF" w:rsidP="00297ADF">
      <w:pPr>
        <w:numPr>
          <w:ilvl w:val="1"/>
          <w:numId w:val="0"/>
        </w:numPr>
        <w:jc w:val="both"/>
        <w:rPr>
          <w:rFonts w:ascii="Arial" w:eastAsia="Times New Roman" w:hAnsi="Arial" w:cs="Times New Roman"/>
          <w:b/>
          <w:sz w:val="20"/>
        </w:rPr>
      </w:pPr>
    </w:p>
    <w:p w14:paraId="2586A57A"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Información por segmentos</w:t>
      </w:r>
    </w:p>
    <w:p w14:paraId="3986EE85" w14:textId="77777777" w:rsidR="00297ADF" w:rsidRPr="00297ADF" w:rsidRDefault="00297ADF" w:rsidP="00297ADF">
      <w:pPr>
        <w:autoSpaceDE w:val="0"/>
        <w:autoSpaceDN w:val="0"/>
        <w:adjustRightInd w:val="0"/>
        <w:jc w:val="both"/>
        <w:rPr>
          <w:rFonts w:ascii="Arial" w:eastAsia="Calibri" w:hAnsi="Arial" w:cs="Arial"/>
          <w:sz w:val="20"/>
          <w:szCs w:val="20"/>
        </w:rPr>
      </w:pPr>
    </w:p>
    <w:p w14:paraId="08793CCF"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El Gobierno del estado de Chiapas, informa que, al 31 de marzo de 2024, no presenta información financiera de manera segmentada.</w:t>
      </w:r>
    </w:p>
    <w:p w14:paraId="2E1E9888" w14:textId="77777777" w:rsidR="00297ADF" w:rsidRPr="00297ADF" w:rsidRDefault="00297ADF" w:rsidP="00297ADF">
      <w:pPr>
        <w:tabs>
          <w:tab w:val="left" w:pos="5280"/>
        </w:tabs>
        <w:jc w:val="both"/>
        <w:rPr>
          <w:rFonts w:ascii="Arial" w:eastAsia="Calibri" w:hAnsi="Arial" w:cs="Arial"/>
          <w:sz w:val="20"/>
          <w:szCs w:val="20"/>
        </w:rPr>
      </w:pPr>
    </w:p>
    <w:p w14:paraId="6B4DFFC8" w14:textId="77777777" w:rsidR="00167C29" w:rsidRDefault="00167C29" w:rsidP="00297ADF">
      <w:pPr>
        <w:numPr>
          <w:ilvl w:val="1"/>
          <w:numId w:val="0"/>
        </w:numPr>
        <w:jc w:val="both"/>
        <w:rPr>
          <w:rFonts w:ascii="Arial" w:eastAsia="Times New Roman" w:hAnsi="Arial" w:cs="Times New Roman"/>
          <w:b/>
          <w:sz w:val="20"/>
        </w:rPr>
      </w:pPr>
    </w:p>
    <w:p w14:paraId="6E7976EE" w14:textId="77777777" w:rsidR="00167C29" w:rsidRDefault="00167C29" w:rsidP="00297ADF">
      <w:pPr>
        <w:numPr>
          <w:ilvl w:val="1"/>
          <w:numId w:val="0"/>
        </w:numPr>
        <w:jc w:val="both"/>
        <w:rPr>
          <w:rFonts w:ascii="Arial" w:eastAsia="Times New Roman" w:hAnsi="Arial" w:cs="Times New Roman"/>
          <w:b/>
          <w:sz w:val="20"/>
        </w:rPr>
      </w:pPr>
    </w:p>
    <w:p w14:paraId="66CE703F" w14:textId="2A5A8A54"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Eventos posteriores al cierre</w:t>
      </w:r>
    </w:p>
    <w:p w14:paraId="18B50EBC" w14:textId="77777777" w:rsidR="00297ADF" w:rsidRPr="00297ADF" w:rsidRDefault="00297ADF" w:rsidP="00297ADF">
      <w:pPr>
        <w:autoSpaceDE w:val="0"/>
        <w:autoSpaceDN w:val="0"/>
        <w:adjustRightInd w:val="0"/>
        <w:jc w:val="both"/>
        <w:rPr>
          <w:rFonts w:ascii="Arial" w:eastAsia="Calibri" w:hAnsi="Arial" w:cs="Arial"/>
          <w:sz w:val="20"/>
          <w:szCs w:val="20"/>
        </w:rPr>
      </w:pPr>
    </w:p>
    <w:p w14:paraId="750300B6"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El Gobierno del estado de Chiapas, informa que no existen eventos ocurridos en el periodo posterior al 31 de marzo de 2024, que pudieran afectar económicamente e impactar en los estados financieros presentados.</w:t>
      </w:r>
    </w:p>
    <w:p w14:paraId="0F3F2BB9" w14:textId="77777777" w:rsidR="00297ADF" w:rsidRPr="00297ADF" w:rsidRDefault="00297ADF" w:rsidP="00297ADF">
      <w:pPr>
        <w:tabs>
          <w:tab w:val="left" w:pos="5280"/>
        </w:tabs>
        <w:jc w:val="both"/>
        <w:rPr>
          <w:rFonts w:ascii="Arial" w:eastAsia="Calibri" w:hAnsi="Arial" w:cs="Arial"/>
          <w:sz w:val="20"/>
          <w:szCs w:val="20"/>
        </w:rPr>
      </w:pPr>
    </w:p>
    <w:p w14:paraId="057D1760"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Partes relacionadas</w:t>
      </w:r>
    </w:p>
    <w:p w14:paraId="2AF67613" w14:textId="77777777" w:rsidR="00297ADF" w:rsidRPr="00297ADF" w:rsidRDefault="00297ADF" w:rsidP="00297ADF">
      <w:pPr>
        <w:autoSpaceDE w:val="0"/>
        <w:autoSpaceDN w:val="0"/>
        <w:adjustRightInd w:val="0"/>
        <w:jc w:val="both"/>
        <w:rPr>
          <w:rFonts w:ascii="Arial" w:eastAsia="Calibri" w:hAnsi="Arial" w:cs="Arial"/>
          <w:sz w:val="20"/>
          <w:szCs w:val="20"/>
        </w:rPr>
      </w:pPr>
    </w:p>
    <w:p w14:paraId="4C1C7338"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El Gobierno del estado de Chiapas, informa que, al 31 de marzo de 2024, no existen partes relacionadas que pudieran ejercer influencia significativa sobre la toma de decisiones financieras y operativas.</w:t>
      </w:r>
    </w:p>
    <w:p w14:paraId="7A7D0DA5" w14:textId="77777777" w:rsidR="00297ADF" w:rsidRPr="00297ADF" w:rsidRDefault="00297ADF" w:rsidP="00297ADF">
      <w:pPr>
        <w:tabs>
          <w:tab w:val="left" w:pos="5280"/>
        </w:tabs>
        <w:jc w:val="both"/>
        <w:rPr>
          <w:rFonts w:ascii="Arial" w:eastAsia="Calibri" w:hAnsi="Arial" w:cs="Arial"/>
          <w:sz w:val="20"/>
          <w:szCs w:val="20"/>
        </w:rPr>
      </w:pPr>
    </w:p>
    <w:p w14:paraId="2A817F22"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Responsabilidad sobre la presentación razonable de la información contable</w:t>
      </w:r>
    </w:p>
    <w:p w14:paraId="44F70F7F" w14:textId="77777777" w:rsidR="00297ADF" w:rsidRPr="00297ADF" w:rsidRDefault="00297ADF" w:rsidP="00297ADF">
      <w:pPr>
        <w:tabs>
          <w:tab w:val="left" w:pos="5280"/>
        </w:tabs>
        <w:jc w:val="both"/>
        <w:rPr>
          <w:rFonts w:ascii="Arial" w:eastAsia="Calibri" w:hAnsi="Arial" w:cs="Arial"/>
          <w:sz w:val="20"/>
          <w:szCs w:val="20"/>
        </w:rPr>
      </w:pPr>
    </w:p>
    <w:p w14:paraId="551A544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“Bajo protesta de decir verdad declaramos que los estados financieros del Gobierno Estatal y sus notas, son razonablemente correctos y son responsabilidad del emisor”.</w:t>
      </w:r>
    </w:p>
    <w:p w14:paraId="6E20EDA7" w14:textId="77777777" w:rsidR="00297ADF" w:rsidRPr="00297ADF" w:rsidRDefault="00297ADF" w:rsidP="00297ADF">
      <w:pPr>
        <w:jc w:val="both"/>
        <w:rPr>
          <w:rFonts w:ascii="Arial" w:eastAsia="Calibri" w:hAnsi="Arial" w:cs="Arial"/>
          <w:sz w:val="20"/>
          <w:szCs w:val="20"/>
          <w:lang w:val="es-ES" w:eastAsia="es-ES"/>
        </w:rPr>
      </w:pPr>
    </w:p>
    <w:p w14:paraId="004A1E27" w14:textId="77777777" w:rsidR="00297ADF" w:rsidRPr="00297ADF" w:rsidRDefault="00297ADF" w:rsidP="00297ADF">
      <w:pPr>
        <w:jc w:val="both"/>
        <w:rPr>
          <w:rFonts w:ascii="Arial" w:eastAsia="Calibri" w:hAnsi="Arial" w:cs="Arial"/>
          <w:sz w:val="20"/>
          <w:szCs w:val="20"/>
          <w:lang w:val="es-ES" w:eastAsia="es-ES"/>
        </w:rPr>
      </w:pPr>
    </w:p>
    <w:p w14:paraId="367362A9" w14:textId="77777777" w:rsidR="00297ADF" w:rsidRPr="00297ADF" w:rsidRDefault="00297ADF" w:rsidP="00297ADF">
      <w:pPr>
        <w:jc w:val="both"/>
        <w:rPr>
          <w:rFonts w:ascii="Arial" w:eastAsia="Times New Roman" w:hAnsi="Arial" w:cs="Arial"/>
          <w:b/>
          <w:bCs/>
          <w:sz w:val="24"/>
          <w:szCs w:val="24"/>
          <w:lang w:val="es-ES" w:eastAsia="es-ES"/>
        </w:rPr>
      </w:pPr>
      <w:r w:rsidRPr="00297ADF">
        <w:rPr>
          <w:rFonts w:ascii="Arial" w:eastAsia="Times New Roman" w:hAnsi="Arial" w:cs="Arial"/>
          <w:b/>
          <w:bCs/>
          <w:sz w:val="24"/>
          <w:szCs w:val="24"/>
          <w:lang w:val="es-ES" w:eastAsia="es-ES"/>
        </w:rPr>
        <w:t>Notas de desglose</w:t>
      </w:r>
    </w:p>
    <w:p w14:paraId="039CB27C" w14:textId="77777777" w:rsidR="00297ADF" w:rsidRPr="00297ADF" w:rsidRDefault="00297ADF" w:rsidP="00297ADF">
      <w:pPr>
        <w:jc w:val="both"/>
        <w:outlineLvl w:val="0"/>
        <w:rPr>
          <w:rFonts w:ascii="Arial" w:eastAsia="Calibri" w:hAnsi="Arial" w:cs="Arial"/>
          <w:b/>
          <w:bCs/>
          <w:sz w:val="20"/>
        </w:rPr>
      </w:pPr>
    </w:p>
    <w:p w14:paraId="2D77ECAE"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Notas al estado de actividades</w:t>
      </w:r>
    </w:p>
    <w:p w14:paraId="6CBF9A70" w14:textId="77777777" w:rsidR="00297ADF" w:rsidRPr="00297ADF" w:rsidRDefault="00297ADF" w:rsidP="00297ADF">
      <w:pPr>
        <w:jc w:val="both"/>
        <w:rPr>
          <w:rFonts w:ascii="Arial" w:eastAsia="Times New Roman" w:hAnsi="Arial" w:cs="Arial"/>
          <w:b/>
          <w:bCs/>
          <w:caps/>
          <w:sz w:val="20"/>
          <w:szCs w:val="20"/>
        </w:rPr>
      </w:pPr>
    </w:p>
    <w:p w14:paraId="0D94A29E"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El resultado obtenido del 1 de enero al 31 de marzo de 2024, presenta un ahorro por $ 12,955,982,516 pesos y se obtiene de restar del total de ingresos percibidos los gastos y otras pérdidas, sin considerar los recursos destinados en la adquisición de bienes muebles e inmuebles consideradas como inversión, así como, recursos comprometidos de gasto de inversión para la continuidad de obras en proceso.</w:t>
      </w:r>
    </w:p>
    <w:p w14:paraId="1A2F387B" w14:textId="77777777" w:rsidR="00297ADF" w:rsidRPr="00297ADF" w:rsidRDefault="00297ADF" w:rsidP="00297ADF">
      <w:pPr>
        <w:jc w:val="both"/>
        <w:outlineLvl w:val="0"/>
        <w:rPr>
          <w:rFonts w:ascii="Arial" w:eastAsia="Times New Roman" w:hAnsi="Arial" w:cs="Arial"/>
          <w:sz w:val="20"/>
          <w:szCs w:val="20"/>
        </w:rPr>
      </w:pPr>
    </w:p>
    <w:p w14:paraId="20967930"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Ingresos y otros beneficios</w:t>
      </w:r>
    </w:p>
    <w:p w14:paraId="47B3EA3F" w14:textId="77777777" w:rsidR="00297ADF" w:rsidRPr="00297ADF" w:rsidRDefault="00297ADF" w:rsidP="00297ADF">
      <w:pPr>
        <w:jc w:val="both"/>
        <w:outlineLvl w:val="0"/>
        <w:rPr>
          <w:rFonts w:ascii="Arial" w:eastAsia="Times New Roman" w:hAnsi="Arial" w:cs="Arial"/>
          <w:sz w:val="20"/>
          <w:szCs w:val="20"/>
        </w:rPr>
      </w:pPr>
    </w:p>
    <w:p w14:paraId="5C2E5B7C" w14:textId="77777777" w:rsidR="00297ADF" w:rsidRPr="00297ADF" w:rsidRDefault="00297ADF" w:rsidP="00297ADF">
      <w:pPr>
        <w:jc w:val="both"/>
        <w:rPr>
          <w:rFonts w:ascii="Arial" w:eastAsia="Times New Roman" w:hAnsi="Arial" w:cs="Arial"/>
          <w:sz w:val="20"/>
          <w:szCs w:val="20"/>
        </w:rPr>
      </w:pPr>
      <w:r w:rsidRPr="00297ADF">
        <w:rPr>
          <w:rFonts w:ascii="Arial" w:eastAsia="Times New Roman" w:hAnsi="Arial" w:cs="Arial"/>
          <w:sz w:val="20"/>
          <w:szCs w:val="20"/>
        </w:rPr>
        <w:t>Los ingresos ascienden a $ 33,112,548,996 pesos y se integran principalmente por los Ingresos de Ley, estos son originados por los impuestos, por la enajenación de bienes y los servicios prestados por los entes públicos que conforman el Gobierno Estatal, por los derechos, productos y aprovechamientos,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w:t>
      </w:r>
    </w:p>
    <w:p w14:paraId="797893C3" w14:textId="77777777" w:rsidR="00297ADF" w:rsidRPr="00297ADF" w:rsidRDefault="00297ADF" w:rsidP="00297ADF">
      <w:pPr>
        <w:jc w:val="both"/>
        <w:rPr>
          <w:rFonts w:ascii="Arial" w:eastAsia="Times New Roman" w:hAnsi="Arial" w:cs="Arial"/>
          <w:sz w:val="20"/>
          <w:szCs w:val="20"/>
        </w:rPr>
      </w:pPr>
    </w:p>
    <w:p w14:paraId="21C99960" w14:textId="77777777" w:rsidR="00297ADF" w:rsidRPr="00297ADF" w:rsidRDefault="00297ADF" w:rsidP="00297ADF">
      <w:pPr>
        <w:jc w:val="both"/>
        <w:rPr>
          <w:rFonts w:ascii="Arial" w:eastAsia="Times New Roman" w:hAnsi="Arial" w:cs="Arial"/>
          <w:sz w:val="20"/>
          <w:szCs w:val="20"/>
        </w:rPr>
      </w:pPr>
      <w:r w:rsidRPr="00297ADF">
        <w:rPr>
          <w:rFonts w:ascii="Arial" w:eastAsia="Times New Roman" w:hAnsi="Arial" w:cs="Arial"/>
          <w:sz w:val="20"/>
          <w:szCs w:val="20"/>
        </w:rPr>
        <w:t xml:space="preserve">Se registran también dentro de este rubro, los ingresos obtenidos por concepto de rendimientos bancarios, así como, </w:t>
      </w:r>
      <w:r w:rsidRPr="00297ADF">
        <w:rPr>
          <w:rFonts w:ascii="Arial" w:eastAsia="Arial" w:hAnsi="Arial" w:cs="Arial"/>
          <w:sz w:val="20"/>
          <w:szCs w:val="20"/>
        </w:rPr>
        <w:t xml:space="preserve">por </w:t>
      </w:r>
      <w:r w:rsidRPr="00297ADF">
        <w:rPr>
          <w:rFonts w:ascii="Arial" w:hAnsi="Arial" w:cs="Arial"/>
          <w:sz w:val="20"/>
          <w:szCs w:val="20"/>
        </w:rPr>
        <w:t xml:space="preserve">las diferencias a favor de operaciones en moneda extranjera, </w:t>
      </w:r>
      <w:r w:rsidRPr="00297ADF">
        <w:rPr>
          <w:rFonts w:ascii="Arial" w:eastAsia="Times New Roman" w:hAnsi="Arial" w:cs="Arial"/>
          <w:sz w:val="20"/>
          <w:szCs w:val="20"/>
        </w:rPr>
        <w:t>por los redondeos y diferencias a favor por concepto de pagos de facturas e impuestos, por apertura de cuentas bancarias, por reintegros y por bonificaciones.</w:t>
      </w:r>
    </w:p>
    <w:p w14:paraId="4E0DC354" w14:textId="77777777" w:rsidR="00297ADF" w:rsidRPr="00297ADF" w:rsidRDefault="00297ADF" w:rsidP="00297ADF">
      <w:pPr>
        <w:jc w:val="both"/>
        <w:rPr>
          <w:rFonts w:ascii="Arial" w:eastAsia="Times New Roman" w:hAnsi="Arial" w:cs="Arial"/>
          <w:b/>
          <w:i/>
          <w:sz w:val="20"/>
          <w:szCs w:val="20"/>
        </w:rPr>
      </w:pPr>
    </w:p>
    <w:p w14:paraId="010B43FD"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Gastos y otras pérdidas</w:t>
      </w:r>
    </w:p>
    <w:p w14:paraId="283BE58D" w14:textId="77777777" w:rsidR="00297ADF" w:rsidRPr="00297ADF" w:rsidRDefault="00297ADF" w:rsidP="00297ADF">
      <w:pPr>
        <w:jc w:val="both"/>
        <w:outlineLvl w:val="0"/>
        <w:rPr>
          <w:rFonts w:ascii="Arial" w:eastAsia="Times New Roman" w:hAnsi="Arial" w:cs="Arial"/>
          <w:b/>
          <w:bCs/>
          <w:i/>
          <w:iCs/>
          <w:sz w:val="20"/>
          <w:szCs w:val="20"/>
        </w:rPr>
      </w:pPr>
    </w:p>
    <w:p w14:paraId="1CE2253F"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Son aquellas cuentas que registran los gastos de funcionamiento de la administración pública, transferencias, asignaciones, subsidios y otras ayudas, aplicados en proyectos a favor de la ciudadanía.</w:t>
      </w:r>
    </w:p>
    <w:p w14:paraId="2ABBAAC2" w14:textId="77777777" w:rsidR="00297ADF" w:rsidRPr="00297ADF" w:rsidRDefault="00297ADF" w:rsidP="00297ADF">
      <w:pPr>
        <w:jc w:val="both"/>
        <w:outlineLvl w:val="0"/>
        <w:rPr>
          <w:rFonts w:ascii="Arial" w:eastAsia="Times New Roman" w:hAnsi="Arial" w:cs="Arial"/>
          <w:sz w:val="20"/>
          <w:szCs w:val="20"/>
        </w:rPr>
      </w:pPr>
    </w:p>
    <w:p w14:paraId="7C928D88"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 xml:space="preserve">Se incluye dentro de este rubro </w:t>
      </w:r>
      <w:r w:rsidRPr="00297ADF">
        <w:rPr>
          <w:rFonts w:ascii="Arial" w:hAnsi="Arial" w:cs="Arial"/>
          <w:sz w:val="20"/>
          <w:szCs w:val="20"/>
        </w:rPr>
        <w:t>la depreciación de bienes muebles, así como,</w:t>
      </w:r>
      <w:r w:rsidRPr="00297ADF">
        <w:rPr>
          <w:rFonts w:ascii="Arial" w:eastAsia="Times New Roman" w:hAnsi="Arial" w:cs="Arial"/>
          <w:sz w:val="20"/>
          <w:szCs w:val="20"/>
        </w:rPr>
        <w:t xml:space="preserve"> el registro de bajas de bienes por pérdida, obsolescencia y deterioro.</w:t>
      </w:r>
    </w:p>
    <w:p w14:paraId="1D4C93AE" w14:textId="77777777" w:rsidR="00297ADF" w:rsidRPr="00297ADF" w:rsidRDefault="00297ADF" w:rsidP="00297ADF">
      <w:pPr>
        <w:jc w:val="both"/>
        <w:outlineLvl w:val="0"/>
        <w:rPr>
          <w:rFonts w:ascii="Arial" w:eastAsia="Times New Roman" w:hAnsi="Arial" w:cs="Arial"/>
          <w:sz w:val="20"/>
          <w:szCs w:val="20"/>
        </w:rPr>
      </w:pPr>
    </w:p>
    <w:p w14:paraId="1DCA406C"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También, se encuentran las diferencias a cargo por las operaciones en moneda extranjera, los gastos de fideicomisos no recuperables, el registro de aquellos bienes enajenables e inventariables, cuyo costo unitario de adquisición no sobrepasa 70 veces el valor diario de la Unidad de Medida y Actualización (UMA), y por los redondeos a cargo por concepto de pagos de facturas e impuestos, al 31 de marzo de 2024.</w:t>
      </w:r>
    </w:p>
    <w:p w14:paraId="73162A46" w14:textId="77777777" w:rsidR="00297ADF" w:rsidRPr="00297ADF" w:rsidRDefault="00297ADF" w:rsidP="00297ADF">
      <w:pPr>
        <w:jc w:val="both"/>
        <w:outlineLvl w:val="0"/>
        <w:rPr>
          <w:rFonts w:ascii="Arial" w:eastAsia="Times New Roman" w:hAnsi="Arial" w:cs="Arial"/>
          <w:sz w:val="20"/>
          <w:szCs w:val="20"/>
        </w:rPr>
      </w:pPr>
    </w:p>
    <w:p w14:paraId="3460C4BA"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Este rubro asciende a un importe de $ 20,156,566,480 pesos.</w:t>
      </w:r>
    </w:p>
    <w:p w14:paraId="7F67F2CD" w14:textId="77777777" w:rsidR="00297ADF" w:rsidRPr="00297ADF" w:rsidRDefault="00297ADF" w:rsidP="00297ADF">
      <w:pPr>
        <w:jc w:val="both"/>
        <w:outlineLvl w:val="0"/>
        <w:rPr>
          <w:rFonts w:ascii="Arial" w:eastAsia="Times New Roman" w:hAnsi="Arial" w:cs="Arial"/>
          <w:sz w:val="20"/>
          <w:szCs w:val="20"/>
        </w:rPr>
      </w:pPr>
    </w:p>
    <w:p w14:paraId="52388A9A" w14:textId="77777777" w:rsidR="00167C29" w:rsidRDefault="00167C29">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51DA9D81" w14:textId="7E099F7D"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Notas al estado de situación financiera</w:t>
      </w:r>
    </w:p>
    <w:p w14:paraId="4AD94198" w14:textId="77777777" w:rsidR="00297ADF" w:rsidRPr="00297ADF" w:rsidRDefault="00297ADF" w:rsidP="00297ADF">
      <w:pPr>
        <w:jc w:val="both"/>
        <w:outlineLvl w:val="0"/>
        <w:rPr>
          <w:rFonts w:ascii="Arial" w:eastAsia="Calibri" w:hAnsi="Arial" w:cs="Arial"/>
          <w:b/>
          <w:bCs/>
          <w:sz w:val="20"/>
        </w:rPr>
      </w:pPr>
    </w:p>
    <w:p w14:paraId="0BB634FF"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Activo</w:t>
      </w:r>
    </w:p>
    <w:p w14:paraId="681BC6C4" w14:textId="77777777" w:rsidR="00297ADF" w:rsidRPr="00297ADF" w:rsidRDefault="00297ADF" w:rsidP="00297ADF">
      <w:pPr>
        <w:jc w:val="both"/>
        <w:rPr>
          <w:rFonts w:ascii="Arial" w:eastAsia="Calibri" w:hAnsi="Arial" w:cs="Arial"/>
          <w:sz w:val="20"/>
          <w:szCs w:val="20"/>
        </w:rPr>
      </w:pPr>
    </w:p>
    <w:p w14:paraId="0CA54CE2"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El activo se compone de los fondos, valores, derechos y bienes cuantificados en términos monetarios, los cuales controla y dispone el Gobierno Estatal para la prestación de servicios públicos, este se integra como sigue:</w:t>
      </w:r>
    </w:p>
    <w:p w14:paraId="3C83415C" w14:textId="77777777" w:rsidR="00297ADF" w:rsidRPr="00297ADF" w:rsidRDefault="00297ADF" w:rsidP="00297ADF">
      <w:pPr>
        <w:jc w:val="both"/>
        <w:rPr>
          <w:rFonts w:ascii="Arial" w:eastAsia="Calibri" w:hAnsi="Arial" w:cs="Arial"/>
          <w:sz w:val="20"/>
          <w:szCs w:val="20"/>
        </w:rPr>
      </w:pPr>
    </w:p>
    <w:p w14:paraId="4F82CD36"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Circulante</w:t>
      </w:r>
    </w:p>
    <w:p w14:paraId="68077505"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012129F2" w14:textId="77777777" w:rsidR="00297ADF" w:rsidRPr="00297ADF" w:rsidRDefault="00297ADF" w:rsidP="00297ADF">
      <w:pPr>
        <w:autoSpaceDE w:val="0"/>
        <w:autoSpaceDN w:val="0"/>
        <w:adjustRightInd w:val="0"/>
        <w:jc w:val="center"/>
        <w:rPr>
          <w:rFonts w:ascii="Arial" w:eastAsia="Calibri" w:hAnsi="Arial" w:cs="Arial"/>
          <w:b/>
          <w:bCs/>
          <w:sz w:val="20"/>
          <w:szCs w:val="20"/>
        </w:rPr>
      </w:pPr>
      <w:r w:rsidRPr="00297ADF">
        <w:rPr>
          <w:noProof/>
          <w:lang w:eastAsia="es-MX"/>
        </w:rPr>
        <w:drawing>
          <wp:inline distT="0" distB="0" distL="0" distR="0" wp14:anchorId="253DD750" wp14:editId="5079E277">
            <wp:extent cx="3075305" cy="3230439"/>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5305" cy="3230439"/>
                    </a:xfrm>
                    <a:prstGeom prst="rect">
                      <a:avLst/>
                    </a:prstGeom>
                    <a:noFill/>
                    <a:ln>
                      <a:noFill/>
                    </a:ln>
                  </pic:spPr>
                </pic:pic>
              </a:graphicData>
            </a:graphic>
          </wp:inline>
        </w:drawing>
      </w:r>
    </w:p>
    <w:p w14:paraId="7052D651"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p>
    <w:p w14:paraId="34F4E47A"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p>
    <w:p w14:paraId="31EDF5DC"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Efectivo y equivalentes</w:t>
      </w:r>
    </w:p>
    <w:p w14:paraId="10FDD516"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p>
    <w:p w14:paraId="74E47080"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El rubro de efectivo y equivalentes al 31 de marzo de 2024, asciende a un monto de $ 16,168,298,246 pesos, y representa el 88.4 % del total del activo circulante, se integra principalmente por la disponibilidad financiera para cubrir los compromisos de pago a proveedores y prestadores de servicios, gastos generados en los proyectos de inversión y ejecución de obras, sueldos y salarios, aguinaldo devengado e impuestos retenidos, así como, por los recursos no presupuestales administrados. </w:t>
      </w:r>
    </w:p>
    <w:p w14:paraId="7ABCD196" w14:textId="77777777" w:rsidR="00297ADF" w:rsidRPr="00297ADF" w:rsidRDefault="00297ADF" w:rsidP="00297ADF">
      <w:pPr>
        <w:autoSpaceDE w:val="0"/>
        <w:autoSpaceDN w:val="0"/>
        <w:adjustRightInd w:val="0"/>
        <w:jc w:val="both"/>
        <w:rPr>
          <w:rFonts w:ascii="Arial" w:eastAsia="Calibri" w:hAnsi="Arial" w:cs="Arial"/>
          <w:sz w:val="20"/>
          <w:szCs w:val="20"/>
        </w:rPr>
      </w:pPr>
    </w:p>
    <w:p w14:paraId="38C167B2"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También, se registra en este rubro lo siguiente:</w:t>
      </w:r>
    </w:p>
    <w:p w14:paraId="6EB3E969" w14:textId="77777777" w:rsidR="00297ADF" w:rsidRPr="00297ADF" w:rsidRDefault="00297ADF" w:rsidP="00297ADF">
      <w:pPr>
        <w:autoSpaceDE w:val="0"/>
        <w:autoSpaceDN w:val="0"/>
        <w:adjustRightInd w:val="0"/>
        <w:jc w:val="both"/>
        <w:rPr>
          <w:rFonts w:ascii="Arial" w:eastAsia="Calibri" w:hAnsi="Arial" w:cs="Arial"/>
          <w:sz w:val="20"/>
          <w:szCs w:val="20"/>
        </w:rPr>
      </w:pPr>
    </w:p>
    <w:p w14:paraId="070E4182" w14:textId="77777777" w:rsidR="00297ADF" w:rsidRPr="00297ADF" w:rsidRDefault="00297ADF" w:rsidP="00297ADF">
      <w:pPr>
        <w:numPr>
          <w:ilvl w:val="0"/>
          <w:numId w:val="25"/>
        </w:numPr>
        <w:spacing w:after="200"/>
        <w:ind w:left="357" w:hanging="357"/>
        <w:jc w:val="both"/>
        <w:rPr>
          <w:rFonts w:ascii="Arial" w:eastAsia="MS Mincho" w:hAnsi="Arial" w:cs="Arial"/>
          <w:sz w:val="20"/>
          <w:szCs w:val="20"/>
          <w:lang w:eastAsia="es-MX"/>
        </w:rPr>
      </w:pPr>
      <w:r w:rsidRPr="00297ADF">
        <w:rPr>
          <w:rFonts w:ascii="Arial" w:eastAsia="MS Mincho" w:hAnsi="Arial" w:cs="Arial"/>
          <w:sz w:val="20"/>
          <w:szCs w:val="20"/>
          <w:lang w:eastAsia="es-MX"/>
        </w:rPr>
        <w:t>Los ingresos por venta de bienes y prestación de servicios, así como, por el pago de impuestos, derechos, productos y aprovechamientos obtenidos en los centros locales recaudatorios.</w:t>
      </w:r>
    </w:p>
    <w:p w14:paraId="48F3BC1E" w14:textId="77777777" w:rsidR="00297ADF" w:rsidRPr="00297ADF" w:rsidRDefault="00297ADF" w:rsidP="00297ADF">
      <w:pPr>
        <w:numPr>
          <w:ilvl w:val="0"/>
          <w:numId w:val="25"/>
        </w:numPr>
        <w:spacing w:after="200"/>
        <w:ind w:left="357" w:hanging="357"/>
        <w:jc w:val="both"/>
        <w:rPr>
          <w:rFonts w:ascii="Arial" w:eastAsia="MS Mincho" w:hAnsi="Arial" w:cs="Arial"/>
          <w:sz w:val="20"/>
          <w:szCs w:val="20"/>
          <w:lang w:eastAsia="es-MX"/>
        </w:rPr>
      </w:pPr>
      <w:r w:rsidRPr="00297ADF">
        <w:rPr>
          <w:rFonts w:ascii="Arial" w:eastAsia="Times New Roman" w:hAnsi="Arial" w:cs="Arial"/>
          <w:sz w:val="20"/>
          <w:szCs w:val="20"/>
          <w:lang w:eastAsia="es-MX"/>
        </w:rPr>
        <w:t>Los recursos colocados en inversiones en mesa de dinero.</w:t>
      </w:r>
    </w:p>
    <w:p w14:paraId="4984A4F6" w14:textId="77777777" w:rsidR="00297ADF" w:rsidRPr="00297ADF" w:rsidRDefault="00297ADF" w:rsidP="00297ADF">
      <w:pPr>
        <w:numPr>
          <w:ilvl w:val="0"/>
          <w:numId w:val="25"/>
        </w:numPr>
        <w:spacing w:after="200"/>
        <w:ind w:left="357" w:hanging="357"/>
        <w:jc w:val="both"/>
        <w:rPr>
          <w:rFonts w:ascii="Arial" w:eastAsia="MS Mincho" w:hAnsi="Arial" w:cs="Arial"/>
          <w:sz w:val="20"/>
          <w:szCs w:val="20"/>
          <w:lang w:eastAsia="es-MX"/>
        </w:rPr>
      </w:pPr>
      <w:r w:rsidRPr="00297ADF">
        <w:rPr>
          <w:rFonts w:ascii="Arial" w:eastAsia="MS Mincho" w:hAnsi="Arial" w:cs="Arial"/>
          <w:sz w:val="20"/>
          <w:szCs w:val="20"/>
          <w:lang w:eastAsia="es-MX"/>
        </w:rPr>
        <w:t>Los depósitos otorgados a terceros por el servicio de arrendamiento de instalaciones o equipos utilizados por los entes públicos.</w:t>
      </w:r>
    </w:p>
    <w:p w14:paraId="00B957F3" w14:textId="77777777" w:rsidR="00297ADF" w:rsidRPr="00297ADF" w:rsidRDefault="00297ADF" w:rsidP="00297ADF">
      <w:pPr>
        <w:numPr>
          <w:ilvl w:val="0"/>
          <w:numId w:val="25"/>
        </w:numPr>
        <w:spacing w:after="120"/>
        <w:ind w:left="357" w:hanging="357"/>
        <w:jc w:val="both"/>
        <w:rPr>
          <w:rFonts w:ascii="Arial" w:eastAsia="MS Mincho" w:hAnsi="Arial" w:cs="Arial"/>
          <w:sz w:val="20"/>
          <w:szCs w:val="20"/>
          <w:lang w:eastAsia="es-MX"/>
        </w:rPr>
      </w:pPr>
      <w:r w:rsidRPr="00297ADF">
        <w:rPr>
          <w:rFonts w:ascii="Arial" w:eastAsia="Times New Roman" w:hAnsi="Arial" w:cs="Arial"/>
          <w:sz w:val="20"/>
          <w:szCs w:val="20"/>
          <w:lang w:eastAsia="es-MX"/>
        </w:rPr>
        <w:t>Los rendimientos con recursos por ingresos de libre disposición y por transferencias federales etiquetadas.</w:t>
      </w:r>
    </w:p>
    <w:p w14:paraId="616FABF0"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Asimismo, se incluye el fondo revolvente y cuentas por gastos a comprobar asignado a funcionarios del Gobierno del Estado, para cubrir gastos menores y emergentes.</w:t>
      </w:r>
    </w:p>
    <w:p w14:paraId="14240BE7" w14:textId="77777777" w:rsidR="00297ADF" w:rsidRPr="00297ADF" w:rsidRDefault="00297ADF" w:rsidP="00297ADF">
      <w:pPr>
        <w:autoSpaceDE w:val="0"/>
        <w:autoSpaceDN w:val="0"/>
        <w:adjustRightInd w:val="0"/>
        <w:jc w:val="both"/>
        <w:rPr>
          <w:rFonts w:ascii="Arial" w:eastAsia="Calibri" w:hAnsi="Arial" w:cs="Arial"/>
          <w:sz w:val="20"/>
          <w:szCs w:val="20"/>
        </w:rPr>
      </w:pPr>
    </w:p>
    <w:p w14:paraId="45E96992"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Este rubro refleja los recursos a corto plazo de mayor liquidez, que son totalmente convertibles en importes determinados de efectivo, sujeto a un riesgo mínimo de cambios en su valor, los cuales se encuentran disponibles para </w:t>
      </w:r>
      <w:r w:rsidRPr="00297ADF">
        <w:rPr>
          <w:rFonts w:ascii="Arial" w:eastAsia="Calibri" w:hAnsi="Arial" w:cs="Arial"/>
          <w:sz w:val="20"/>
          <w:szCs w:val="20"/>
        </w:rPr>
        <w:lastRenderedPageBreak/>
        <w:t>solventar los gastos de operación y de inversión que se tienen comprometidos al 31 de marzo de 2024 y que incide en el patrimonio estatal.</w:t>
      </w:r>
    </w:p>
    <w:p w14:paraId="2683D8E9" w14:textId="77777777" w:rsidR="00297ADF" w:rsidRPr="00297ADF" w:rsidRDefault="00297ADF" w:rsidP="00297ADF">
      <w:pPr>
        <w:autoSpaceDE w:val="0"/>
        <w:autoSpaceDN w:val="0"/>
        <w:adjustRightInd w:val="0"/>
        <w:jc w:val="both"/>
        <w:rPr>
          <w:rFonts w:ascii="Arial" w:eastAsia="Calibri" w:hAnsi="Arial" w:cs="Arial"/>
          <w:sz w:val="20"/>
          <w:szCs w:val="20"/>
        </w:rPr>
      </w:pPr>
    </w:p>
    <w:p w14:paraId="2B253870"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drawing>
          <wp:inline distT="0" distB="0" distL="0" distR="0" wp14:anchorId="6EF1D73A" wp14:editId="4EDAD0C5">
            <wp:extent cx="3708400" cy="1388745"/>
            <wp:effectExtent l="0" t="0" r="635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4DF2F9B4" w14:textId="77777777" w:rsidR="00297ADF" w:rsidRPr="00297ADF" w:rsidRDefault="00297ADF" w:rsidP="00297ADF">
      <w:pPr>
        <w:autoSpaceDE w:val="0"/>
        <w:autoSpaceDN w:val="0"/>
        <w:adjustRightInd w:val="0"/>
        <w:jc w:val="both"/>
        <w:rPr>
          <w:rFonts w:ascii="Arial" w:eastAsia="Calibri" w:hAnsi="Arial" w:cs="Arial"/>
          <w:sz w:val="20"/>
          <w:szCs w:val="20"/>
        </w:rPr>
      </w:pPr>
    </w:p>
    <w:p w14:paraId="7D624022" w14:textId="77777777" w:rsidR="00297ADF" w:rsidRPr="00297ADF" w:rsidRDefault="00297ADF" w:rsidP="00297ADF">
      <w:pPr>
        <w:autoSpaceDE w:val="0"/>
        <w:autoSpaceDN w:val="0"/>
        <w:adjustRightInd w:val="0"/>
        <w:jc w:val="both"/>
        <w:rPr>
          <w:rFonts w:ascii="Arial" w:eastAsia="Calibri" w:hAnsi="Arial" w:cs="Arial"/>
          <w:sz w:val="20"/>
          <w:szCs w:val="20"/>
        </w:rPr>
      </w:pPr>
    </w:p>
    <w:p w14:paraId="3D435F13"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Derechos a recibir efectivo o equivalentes</w:t>
      </w:r>
    </w:p>
    <w:p w14:paraId="5CA32628" w14:textId="77777777" w:rsidR="00297ADF" w:rsidRPr="00297ADF" w:rsidRDefault="00297ADF" w:rsidP="00297ADF">
      <w:pPr>
        <w:jc w:val="both"/>
        <w:outlineLvl w:val="0"/>
        <w:rPr>
          <w:rFonts w:ascii="Arial" w:eastAsia="Calibri" w:hAnsi="Arial" w:cs="Arial"/>
          <w:b/>
          <w:bCs/>
          <w:iCs/>
          <w:sz w:val="20"/>
          <w:szCs w:val="20"/>
        </w:rPr>
      </w:pPr>
    </w:p>
    <w:p w14:paraId="79FBA698"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Al 31 de marzo de 2024, el rubro de derechos a recibir efectivo o equivalentes, se compone por:</w:t>
      </w:r>
    </w:p>
    <w:p w14:paraId="4632FBCC" w14:textId="77777777" w:rsidR="00297ADF" w:rsidRPr="00297ADF" w:rsidRDefault="00297ADF" w:rsidP="00297ADF">
      <w:pPr>
        <w:jc w:val="both"/>
        <w:rPr>
          <w:rFonts w:ascii="Arial" w:eastAsia="Arial" w:hAnsi="Arial" w:cs="Arial"/>
          <w:sz w:val="20"/>
          <w:szCs w:val="20"/>
        </w:rPr>
      </w:pPr>
    </w:p>
    <w:p w14:paraId="2CF28E36"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El manejo de los recursos financieros del Fondo de Aportaciones para la Seguridad Pública (FASP) establecido en el lineamiento aplicable, así como, el subsidio al empleo. </w:t>
      </w:r>
    </w:p>
    <w:p w14:paraId="704683EF" w14:textId="77777777" w:rsidR="00297ADF" w:rsidRPr="00297ADF" w:rsidRDefault="00297ADF" w:rsidP="00297ADF">
      <w:pPr>
        <w:jc w:val="both"/>
        <w:rPr>
          <w:rFonts w:ascii="Arial" w:eastAsia="Arial" w:hAnsi="Arial" w:cs="Arial"/>
          <w:sz w:val="20"/>
          <w:szCs w:val="20"/>
        </w:rPr>
      </w:pPr>
    </w:p>
    <w:p w14:paraId="5C404B41"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Arial" w:hAnsi="Arial" w:cs="Arial"/>
          <w:sz w:val="20"/>
          <w:szCs w:val="20"/>
        </w:rPr>
        <w:t xml:space="preserve">Se incluyen, los descuentos realizados a la participación federal por concepto de adeudos al Instituto de Seguridad y Servicios Sociales de los Trabajadores del Estado (ISSSTE), así como, deudores morosos por gastos a comprobar, deudores por responsabilidades, depósitos indebidos, cargos bancarios por aclarar </w:t>
      </w:r>
      <w:r w:rsidRPr="00297ADF">
        <w:rPr>
          <w:rFonts w:ascii="Arial" w:eastAsia="Calibri" w:hAnsi="Arial" w:cs="Arial"/>
          <w:sz w:val="20"/>
          <w:szCs w:val="20"/>
        </w:rPr>
        <w:t>y los recursos por embargo a cuentas bancarias derivado de laudos, pendientes de regularizar.</w:t>
      </w:r>
    </w:p>
    <w:p w14:paraId="2993D7F4" w14:textId="77777777" w:rsidR="00297ADF" w:rsidRPr="00297ADF" w:rsidRDefault="00297ADF" w:rsidP="00297ADF">
      <w:pPr>
        <w:autoSpaceDE w:val="0"/>
        <w:autoSpaceDN w:val="0"/>
        <w:adjustRightInd w:val="0"/>
        <w:jc w:val="both"/>
        <w:rPr>
          <w:rFonts w:ascii="Arial" w:eastAsia="Calibri" w:hAnsi="Arial" w:cs="Arial"/>
          <w:sz w:val="20"/>
          <w:szCs w:val="20"/>
        </w:rPr>
      </w:pPr>
    </w:p>
    <w:p w14:paraId="27D06F3A" w14:textId="77777777" w:rsidR="00297ADF" w:rsidRPr="00297ADF" w:rsidRDefault="00297ADF" w:rsidP="00297ADF">
      <w:pPr>
        <w:jc w:val="both"/>
        <w:rPr>
          <w:rFonts w:ascii="Arial" w:eastAsia="Arial" w:hAnsi="Arial" w:cs="Arial"/>
          <w:sz w:val="20"/>
          <w:szCs w:val="20"/>
        </w:rPr>
      </w:pPr>
      <w:r w:rsidRPr="00297ADF">
        <w:rPr>
          <w:rFonts w:ascii="Arial" w:eastAsia="Calibri" w:hAnsi="Arial" w:cs="Arial"/>
          <w:sz w:val="20"/>
          <w:szCs w:val="20"/>
        </w:rPr>
        <w:t xml:space="preserve">También, se encuentran los ingresos por recuperar y </w:t>
      </w:r>
      <w:r w:rsidRPr="00297ADF">
        <w:rPr>
          <w:rFonts w:ascii="Arial" w:eastAsia="Arial" w:hAnsi="Arial" w:cs="Arial"/>
          <w:sz w:val="20"/>
          <w:szCs w:val="20"/>
        </w:rPr>
        <w:t>los préstamos otorgados al personal de la Universidad Autónoma de Chiapas.</w:t>
      </w:r>
    </w:p>
    <w:p w14:paraId="0247D7C5" w14:textId="77777777" w:rsidR="00297ADF" w:rsidRPr="00297ADF" w:rsidRDefault="00297ADF" w:rsidP="00297ADF">
      <w:pPr>
        <w:autoSpaceDE w:val="0"/>
        <w:autoSpaceDN w:val="0"/>
        <w:adjustRightInd w:val="0"/>
        <w:jc w:val="both"/>
        <w:rPr>
          <w:rFonts w:ascii="Arial" w:eastAsia="Calibri" w:hAnsi="Arial" w:cs="Arial"/>
          <w:sz w:val="20"/>
          <w:szCs w:val="20"/>
        </w:rPr>
      </w:pPr>
    </w:p>
    <w:p w14:paraId="192D4FEC"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En su totalidad este rubro asciende a $ 1,745,304,251 pesos y representa el 9.5 % del total del activo circulante.</w:t>
      </w:r>
    </w:p>
    <w:p w14:paraId="7A5FE2C8" w14:textId="77777777" w:rsidR="00297ADF" w:rsidRPr="00297ADF" w:rsidRDefault="00297ADF" w:rsidP="00297ADF">
      <w:pPr>
        <w:autoSpaceDE w:val="0"/>
        <w:autoSpaceDN w:val="0"/>
        <w:adjustRightInd w:val="0"/>
        <w:jc w:val="both"/>
        <w:rPr>
          <w:rFonts w:ascii="Arial" w:eastAsia="Calibri" w:hAnsi="Arial" w:cs="Arial"/>
          <w:sz w:val="20"/>
          <w:szCs w:val="20"/>
        </w:rPr>
      </w:pPr>
    </w:p>
    <w:p w14:paraId="4B8BFF87"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drawing>
          <wp:inline distT="0" distB="0" distL="0" distR="0" wp14:anchorId="3B87E36B" wp14:editId="672C4F25">
            <wp:extent cx="3708400" cy="1388745"/>
            <wp:effectExtent l="0" t="0" r="635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54D6B509" w14:textId="77777777" w:rsidR="00297ADF" w:rsidRPr="00297ADF" w:rsidRDefault="00297ADF" w:rsidP="00297ADF">
      <w:pPr>
        <w:autoSpaceDE w:val="0"/>
        <w:autoSpaceDN w:val="0"/>
        <w:adjustRightInd w:val="0"/>
        <w:jc w:val="center"/>
        <w:rPr>
          <w:rFonts w:ascii="Arial" w:eastAsia="Calibri" w:hAnsi="Arial" w:cs="Arial"/>
          <w:sz w:val="20"/>
          <w:szCs w:val="20"/>
        </w:rPr>
      </w:pPr>
    </w:p>
    <w:p w14:paraId="4BEBEFB0" w14:textId="77777777" w:rsidR="00297ADF" w:rsidRPr="00297ADF" w:rsidRDefault="00297ADF" w:rsidP="00297ADF">
      <w:pPr>
        <w:autoSpaceDE w:val="0"/>
        <w:autoSpaceDN w:val="0"/>
        <w:adjustRightInd w:val="0"/>
        <w:jc w:val="center"/>
        <w:rPr>
          <w:rFonts w:ascii="Arial" w:eastAsia="Calibri" w:hAnsi="Arial" w:cs="Arial"/>
          <w:sz w:val="20"/>
          <w:szCs w:val="20"/>
        </w:rPr>
      </w:pPr>
    </w:p>
    <w:p w14:paraId="35570F7A"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Derechos a recibir bienes o servicios</w:t>
      </w:r>
    </w:p>
    <w:p w14:paraId="67F97B4F" w14:textId="77777777" w:rsidR="00297ADF" w:rsidRPr="00297ADF" w:rsidRDefault="00297ADF" w:rsidP="00297ADF">
      <w:pPr>
        <w:jc w:val="both"/>
        <w:outlineLvl w:val="0"/>
        <w:rPr>
          <w:rFonts w:ascii="Arial" w:eastAsia="Calibri" w:hAnsi="Arial" w:cs="Arial"/>
          <w:b/>
          <w:bCs/>
          <w:i/>
          <w:iCs/>
          <w:sz w:val="20"/>
          <w:szCs w:val="20"/>
        </w:rPr>
      </w:pPr>
    </w:p>
    <w:p w14:paraId="68FC642E"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El saldo de este rubro por $ 322,098,381 pesos, de los derechos a recibir bienes o servicios, corresponde a los anticipos otorgados a contratistas para la ejecución de obras en proceso, en bienes propios y en bienes de dominio público del Gobierno del Estado.</w:t>
      </w:r>
    </w:p>
    <w:p w14:paraId="359C3ACA" w14:textId="77777777" w:rsidR="00297ADF" w:rsidRPr="00297ADF" w:rsidRDefault="00297ADF" w:rsidP="00297ADF">
      <w:pPr>
        <w:jc w:val="both"/>
        <w:rPr>
          <w:rFonts w:ascii="Arial" w:eastAsia="Arial" w:hAnsi="Arial" w:cs="Arial"/>
          <w:sz w:val="20"/>
          <w:szCs w:val="20"/>
        </w:rPr>
      </w:pPr>
    </w:p>
    <w:p w14:paraId="45881772"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También, se integra por los anticipos otorgados a proveedores por adquisición de bienes muebles e intangibles, así como, por la prestación de servicios al 31 de marzo de 2024.</w:t>
      </w:r>
    </w:p>
    <w:p w14:paraId="10F855DF" w14:textId="77777777" w:rsidR="00297ADF" w:rsidRPr="00297ADF" w:rsidRDefault="00297ADF" w:rsidP="00297ADF">
      <w:pPr>
        <w:autoSpaceDE w:val="0"/>
        <w:autoSpaceDN w:val="0"/>
        <w:adjustRightInd w:val="0"/>
        <w:jc w:val="both"/>
        <w:rPr>
          <w:rFonts w:ascii="Arial" w:eastAsia="Calibri" w:hAnsi="Arial" w:cs="Arial"/>
          <w:sz w:val="20"/>
          <w:szCs w:val="20"/>
        </w:rPr>
      </w:pPr>
    </w:p>
    <w:p w14:paraId="2202FD3E"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Respecto al total del activo circulante representa el 1.8 %.</w:t>
      </w:r>
    </w:p>
    <w:p w14:paraId="67B9F3F6" w14:textId="77777777" w:rsidR="00297ADF" w:rsidRPr="00297ADF" w:rsidRDefault="00297ADF" w:rsidP="00297ADF">
      <w:pPr>
        <w:autoSpaceDE w:val="0"/>
        <w:autoSpaceDN w:val="0"/>
        <w:adjustRightInd w:val="0"/>
        <w:jc w:val="both"/>
        <w:rPr>
          <w:rFonts w:ascii="Arial" w:eastAsia="Calibri" w:hAnsi="Arial" w:cs="Arial"/>
          <w:sz w:val="20"/>
          <w:szCs w:val="20"/>
        </w:rPr>
      </w:pPr>
    </w:p>
    <w:p w14:paraId="63D1064C" w14:textId="77777777" w:rsidR="00297ADF" w:rsidRPr="00297ADF" w:rsidRDefault="00297ADF" w:rsidP="00297ADF">
      <w:pPr>
        <w:jc w:val="center"/>
        <w:outlineLvl w:val="0"/>
        <w:rPr>
          <w:rFonts w:ascii="Arial" w:eastAsia="Calibri" w:hAnsi="Arial" w:cs="Arial"/>
          <w:b/>
          <w:bCs/>
          <w:i/>
          <w:sz w:val="20"/>
          <w:szCs w:val="20"/>
        </w:rPr>
      </w:pPr>
      <w:r w:rsidRPr="00297ADF">
        <w:rPr>
          <w:noProof/>
          <w:lang w:eastAsia="es-MX"/>
        </w:rPr>
        <w:lastRenderedPageBreak/>
        <w:drawing>
          <wp:inline distT="0" distB="0" distL="0" distR="0" wp14:anchorId="29E51F07" wp14:editId="55E40830">
            <wp:extent cx="3708400" cy="142240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8400" cy="1422400"/>
                    </a:xfrm>
                    <a:prstGeom prst="rect">
                      <a:avLst/>
                    </a:prstGeom>
                    <a:noFill/>
                    <a:ln>
                      <a:noFill/>
                    </a:ln>
                  </pic:spPr>
                </pic:pic>
              </a:graphicData>
            </a:graphic>
          </wp:inline>
        </w:drawing>
      </w:r>
    </w:p>
    <w:p w14:paraId="64EB7AF5" w14:textId="77777777" w:rsidR="00297ADF" w:rsidRPr="00297ADF" w:rsidRDefault="00297ADF" w:rsidP="00297ADF">
      <w:pPr>
        <w:jc w:val="both"/>
        <w:outlineLvl w:val="0"/>
        <w:rPr>
          <w:rFonts w:ascii="Arial" w:eastAsia="Calibri" w:hAnsi="Arial" w:cs="Arial"/>
          <w:b/>
          <w:bCs/>
          <w:i/>
          <w:sz w:val="20"/>
          <w:szCs w:val="20"/>
        </w:rPr>
      </w:pPr>
    </w:p>
    <w:p w14:paraId="38D8F1AE" w14:textId="77777777" w:rsidR="00297ADF" w:rsidRPr="00297ADF" w:rsidRDefault="00297ADF" w:rsidP="00297ADF">
      <w:pPr>
        <w:jc w:val="both"/>
        <w:outlineLvl w:val="0"/>
        <w:rPr>
          <w:rFonts w:ascii="Arial" w:eastAsia="Calibri" w:hAnsi="Arial" w:cs="Arial"/>
          <w:b/>
          <w:bCs/>
          <w:i/>
          <w:sz w:val="20"/>
          <w:szCs w:val="20"/>
        </w:rPr>
      </w:pPr>
    </w:p>
    <w:p w14:paraId="75BC7088"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Inventarios</w:t>
      </w:r>
    </w:p>
    <w:p w14:paraId="593606D1"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p>
    <w:p w14:paraId="08B0720C"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r w:rsidRPr="00297ADF">
        <w:rPr>
          <w:rFonts w:ascii="Arial" w:eastAsia="Calibri" w:hAnsi="Arial" w:cs="Arial"/>
          <w:sz w:val="20"/>
          <w:szCs w:val="20"/>
          <w:lang w:eastAsia="es-MX"/>
        </w:rPr>
        <w:t xml:space="preserve">Al </w:t>
      </w:r>
      <w:r w:rsidRPr="00297ADF">
        <w:rPr>
          <w:rFonts w:ascii="Arial" w:eastAsia="Calibri" w:hAnsi="Arial" w:cs="Arial"/>
          <w:sz w:val="20"/>
          <w:szCs w:val="20"/>
        </w:rPr>
        <w:t>31 de marzo de 2024</w:t>
      </w:r>
      <w:r w:rsidRPr="00297ADF">
        <w:rPr>
          <w:rFonts w:ascii="Arial" w:eastAsia="Calibri" w:hAnsi="Arial" w:cs="Arial"/>
          <w:sz w:val="20"/>
          <w:szCs w:val="20"/>
          <w:lang w:eastAsia="es-MX"/>
        </w:rPr>
        <w:t>, el rubro de inventarios asciende a $ 679,510 pesos, y refleja el registro de bienes inventariables de la Universidad Autónoma de Chiapas, mismos que se encuentran pendientes de asignación y/o regularización.</w:t>
      </w:r>
    </w:p>
    <w:p w14:paraId="7413DBF8"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p>
    <w:p w14:paraId="38EAC057" w14:textId="77777777" w:rsidR="00297ADF" w:rsidRPr="00297ADF" w:rsidRDefault="00297ADF" w:rsidP="00297ADF">
      <w:pPr>
        <w:autoSpaceDE w:val="0"/>
        <w:autoSpaceDN w:val="0"/>
        <w:adjustRightInd w:val="0"/>
        <w:jc w:val="center"/>
        <w:rPr>
          <w:rFonts w:ascii="Arial" w:eastAsia="Calibri" w:hAnsi="Arial" w:cs="Arial"/>
          <w:sz w:val="20"/>
          <w:szCs w:val="20"/>
          <w:lang w:eastAsia="es-MX"/>
        </w:rPr>
      </w:pPr>
      <w:r w:rsidRPr="00297ADF">
        <w:rPr>
          <w:noProof/>
          <w:lang w:eastAsia="es-MX"/>
        </w:rPr>
        <w:drawing>
          <wp:inline distT="0" distB="0" distL="0" distR="0" wp14:anchorId="281AFF91" wp14:editId="2ECB2742">
            <wp:extent cx="3708400" cy="147320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8400" cy="1473200"/>
                    </a:xfrm>
                    <a:prstGeom prst="rect">
                      <a:avLst/>
                    </a:prstGeom>
                    <a:noFill/>
                    <a:ln>
                      <a:noFill/>
                    </a:ln>
                  </pic:spPr>
                </pic:pic>
              </a:graphicData>
            </a:graphic>
          </wp:inline>
        </w:drawing>
      </w:r>
    </w:p>
    <w:p w14:paraId="20E19E34" w14:textId="77777777" w:rsidR="00297ADF" w:rsidRPr="00297ADF" w:rsidRDefault="00297ADF" w:rsidP="00297ADF">
      <w:pPr>
        <w:jc w:val="both"/>
        <w:outlineLvl w:val="0"/>
        <w:rPr>
          <w:rFonts w:ascii="Arial" w:eastAsia="Calibri" w:hAnsi="Arial" w:cs="Arial"/>
          <w:b/>
          <w:bCs/>
          <w:i/>
          <w:sz w:val="20"/>
          <w:szCs w:val="20"/>
        </w:rPr>
      </w:pPr>
    </w:p>
    <w:p w14:paraId="0A7EE724" w14:textId="77777777" w:rsidR="00297ADF" w:rsidRPr="00297ADF" w:rsidRDefault="00297ADF" w:rsidP="00297ADF">
      <w:pPr>
        <w:jc w:val="both"/>
        <w:outlineLvl w:val="0"/>
        <w:rPr>
          <w:rFonts w:ascii="Arial" w:eastAsia="Calibri" w:hAnsi="Arial" w:cs="Arial"/>
          <w:b/>
          <w:bCs/>
          <w:i/>
          <w:sz w:val="20"/>
          <w:szCs w:val="20"/>
        </w:rPr>
      </w:pPr>
    </w:p>
    <w:p w14:paraId="41761709"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Almacenes</w:t>
      </w:r>
    </w:p>
    <w:p w14:paraId="6A5E8EA1" w14:textId="77777777" w:rsidR="00297ADF" w:rsidRPr="00297ADF" w:rsidRDefault="00297ADF" w:rsidP="00297ADF">
      <w:pPr>
        <w:jc w:val="both"/>
        <w:outlineLvl w:val="0"/>
        <w:rPr>
          <w:rFonts w:ascii="Arial" w:eastAsia="Calibri" w:hAnsi="Arial" w:cs="Arial"/>
          <w:b/>
          <w:bCs/>
          <w:i/>
          <w:iCs/>
          <w:sz w:val="20"/>
          <w:szCs w:val="20"/>
        </w:rPr>
      </w:pPr>
    </w:p>
    <w:p w14:paraId="4892B8F0"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r w:rsidRPr="00297ADF">
        <w:rPr>
          <w:rFonts w:ascii="Arial" w:eastAsia="Calibri" w:hAnsi="Arial" w:cs="Arial"/>
          <w:sz w:val="20"/>
          <w:szCs w:val="20"/>
          <w:lang w:eastAsia="es-MX"/>
        </w:rPr>
        <w:t xml:space="preserve">El rubro de almacenes asciende a $ 58,037,540 pesos y representa el 0.3 % del total del activo circulante, y refleja la existencia física de consumibles que se tienen en los almacenes </w:t>
      </w:r>
      <w:r w:rsidRPr="00297ADF">
        <w:rPr>
          <w:rFonts w:ascii="Arial" w:eastAsia="Calibri" w:hAnsi="Arial" w:cs="Arial"/>
          <w:sz w:val="20"/>
          <w:szCs w:val="20"/>
        </w:rPr>
        <w:t>al 31 de marzo de 2024</w:t>
      </w:r>
      <w:r w:rsidRPr="00297ADF">
        <w:rPr>
          <w:rFonts w:ascii="Arial" w:eastAsia="Calibri" w:hAnsi="Arial" w:cs="Arial"/>
          <w:sz w:val="20"/>
          <w:szCs w:val="20"/>
          <w:lang w:eastAsia="es-MX"/>
        </w:rPr>
        <w:t>, integrado principalmente por materiales de administración para la emisión de documentos y artículos oficiales, refacciones y accesorios para equipo de cómputo, materiales y herramientas de construcción y reparación de espacios educativos, suministros médicos, alimentos y utensilios, materiales de limpieza, así como, uniformes, artículos deportivos y combustible.</w:t>
      </w:r>
    </w:p>
    <w:p w14:paraId="3FCDB218"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p>
    <w:p w14:paraId="51361391" w14:textId="77777777" w:rsidR="00297ADF" w:rsidRPr="00297ADF" w:rsidRDefault="00297ADF" w:rsidP="00297ADF">
      <w:pPr>
        <w:autoSpaceDE w:val="0"/>
        <w:autoSpaceDN w:val="0"/>
        <w:adjustRightInd w:val="0"/>
        <w:jc w:val="center"/>
        <w:rPr>
          <w:rFonts w:ascii="Arial" w:eastAsia="Calibri" w:hAnsi="Arial" w:cs="Arial"/>
          <w:sz w:val="20"/>
          <w:szCs w:val="20"/>
          <w:lang w:eastAsia="es-MX"/>
        </w:rPr>
      </w:pPr>
      <w:r w:rsidRPr="00297ADF">
        <w:rPr>
          <w:noProof/>
          <w:lang w:eastAsia="es-MX"/>
        </w:rPr>
        <w:drawing>
          <wp:inline distT="0" distB="0" distL="0" distR="0" wp14:anchorId="42ADD0B0" wp14:editId="212BD53E">
            <wp:extent cx="3708400" cy="144780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400" cy="1447800"/>
                    </a:xfrm>
                    <a:prstGeom prst="rect">
                      <a:avLst/>
                    </a:prstGeom>
                    <a:noFill/>
                    <a:ln>
                      <a:noFill/>
                    </a:ln>
                  </pic:spPr>
                </pic:pic>
              </a:graphicData>
            </a:graphic>
          </wp:inline>
        </w:drawing>
      </w:r>
    </w:p>
    <w:p w14:paraId="22997B24"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p>
    <w:p w14:paraId="7515E945" w14:textId="77777777" w:rsidR="00297ADF" w:rsidRPr="00297ADF" w:rsidRDefault="00297ADF" w:rsidP="00297ADF">
      <w:pPr>
        <w:autoSpaceDE w:val="0"/>
        <w:autoSpaceDN w:val="0"/>
        <w:adjustRightInd w:val="0"/>
        <w:jc w:val="both"/>
        <w:rPr>
          <w:rFonts w:ascii="Arial" w:eastAsia="Calibri" w:hAnsi="Arial" w:cs="Arial"/>
          <w:sz w:val="20"/>
          <w:szCs w:val="20"/>
          <w:lang w:eastAsia="es-MX"/>
        </w:rPr>
      </w:pPr>
    </w:p>
    <w:p w14:paraId="0DD1ED86" w14:textId="77777777" w:rsidR="00167C29" w:rsidRDefault="00167C29">
      <w:pPr>
        <w:spacing w:after="160" w:line="259" w:lineRule="auto"/>
        <w:rPr>
          <w:rFonts w:ascii="Arial" w:eastAsia="Times New Roman" w:hAnsi="Arial" w:cs="Times New Roman"/>
          <w:b/>
          <w:szCs w:val="24"/>
          <w:lang w:val="es-ES" w:eastAsia="es-ES"/>
        </w:rPr>
      </w:pPr>
      <w:r>
        <w:rPr>
          <w:rFonts w:ascii="Arial" w:eastAsia="Times New Roman" w:hAnsi="Arial" w:cs="Times New Roman"/>
          <w:b/>
          <w:szCs w:val="24"/>
          <w:lang w:val="es-ES" w:eastAsia="es-ES"/>
        </w:rPr>
        <w:br w:type="page"/>
      </w:r>
    </w:p>
    <w:p w14:paraId="64A2EA0F" w14:textId="5E2A0A17" w:rsidR="00297ADF" w:rsidRPr="00297ADF" w:rsidRDefault="00297ADF" w:rsidP="00297ADF">
      <w:pPr>
        <w:rPr>
          <w:rFonts w:ascii="Arial" w:eastAsia="Times New Roman" w:hAnsi="Arial" w:cs="Times New Roman"/>
          <w:b/>
          <w:szCs w:val="24"/>
          <w:lang w:val="es-ES" w:eastAsia="es-ES"/>
        </w:rPr>
      </w:pPr>
      <w:r w:rsidRPr="00297ADF">
        <w:rPr>
          <w:rFonts w:ascii="Arial" w:eastAsia="Times New Roman" w:hAnsi="Arial" w:cs="Times New Roman"/>
          <w:b/>
          <w:szCs w:val="24"/>
          <w:lang w:val="es-ES" w:eastAsia="es-ES"/>
        </w:rPr>
        <w:lastRenderedPageBreak/>
        <w:t>No circulante</w:t>
      </w:r>
    </w:p>
    <w:p w14:paraId="58FA342A"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11B00C9F" w14:textId="1DF11B06" w:rsidR="00297ADF" w:rsidRPr="00297ADF" w:rsidRDefault="00167C29" w:rsidP="00297ADF">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rPr>
        <w:drawing>
          <wp:inline distT="0" distB="0" distL="0" distR="0" wp14:anchorId="3F696167" wp14:editId="1EB196E8">
            <wp:extent cx="3074400" cy="2957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4400" cy="2957725"/>
                    </a:xfrm>
                    <a:prstGeom prst="rect">
                      <a:avLst/>
                    </a:prstGeom>
                    <a:noFill/>
                  </pic:spPr>
                </pic:pic>
              </a:graphicData>
            </a:graphic>
          </wp:inline>
        </w:drawing>
      </w:r>
    </w:p>
    <w:p w14:paraId="29E0EFAD" w14:textId="77777777" w:rsidR="00297ADF" w:rsidRPr="00297ADF" w:rsidRDefault="00297ADF" w:rsidP="00297ADF">
      <w:pPr>
        <w:autoSpaceDE w:val="0"/>
        <w:autoSpaceDN w:val="0"/>
        <w:adjustRightInd w:val="0"/>
        <w:jc w:val="both"/>
        <w:rPr>
          <w:rFonts w:ascii="Arial" w:eastAsia="Calibri" w:hAnsi="Arial" w:cs="Arial"/>
          <w:b/>
          <w:bCs/>
          <w:i/>
          <w:sz w:val="20"/>
          <w:szCs w:val="20"/>
        </w:rPr>
      </w:pPr>
    </w:p>
    <w:p w14:paraId="3557975D" w14:textId="77777777" w:rsidR="00297ADF" w:rsidRPr="00297ADF" w:rsidRDefault="00297ADF" w:rsidP="00297ADF">
      <w:pPr>
        <w:autoSpaceDE w:val="0"/>
        <w:autoSpaceDN w:val="0"/>
        <w:adjustRightInd w:val="0"/>
        <w:jc w:val="both"/>
        <w:rPr>
          <w:rFonts w:ascii="Arial" w:eastAsia="Calibri" w:hAnsi="Arial" w:cs="Arial"/>
          <w:b/>
          <w:bCs/>
          <w:i/>
          <w:sz w:val="20"/>
          <w:szCs w:val="20"/>
        </w:rPr>
      </w:pPr>
    </w:p>
    <w:p w14:paraId="7C56AA9D"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Inversiones financieras a largo plazo</w:t>
      </w:r>
    </w:p>
    <w:p w14:paraId="23DC5574" w14:textId="77777777" w:rsidR="00297ADF" w:rsidRPr="00297ADF" w:rsidRDefault="00297ADF" w:rsidP="00297ADF">
      <w:pPr>
        <w:jc w:val="both"/>
        <w:rPr>
          <w:rFonts w:ascii="Arial" w:eastAsia="Calibri" w:hAnsi="Arial" w:cs="Arial"/>
          <w:sz w:val="20"/>
          <w:szCs w:val="20"/>
        </w:rPr>
      </w:pPr>
    </w:p>
    <w:p w14:paraId="56C705E7"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 xml:space="preserve">El saldo por $ 1,036,957,052 pesos al 31 de marzo de 2024, representa las erogaciones recuperables por la asignación de créditos directos o mediante fondos para actividades productivas, la adquisición de valores y las inversiones, los fideicomisos del Gobierno del Estado, orientados al fomento y financiamiento agroindustrial, al comercio, a los servicios educativos, y turísticos, al desarrollo agropecuario y ambiental, y al mejoramiento de la organización electoral. </w:t>
      </w:r>
    </w:p>
    <w:p w14:paraId="2C3A42B0" w14:textId="77777777" w:rsidR="00297ADF" w:rsidRPr="00297ADF" w:rsidRDefault="00297ADF" w:rsidP="00297ADF">
      <w:pPr>
        <w:jc w:val="both"/>
        <w:rPr>
          <w:rFonts w:ascii="Arial" w:eastAsia="Calibri" w:hAnsi="Arial" w:cs="Arial"/>
          <w:sz w:val="20"/>
          <w:szCs w:val="20"/>
        </w:rPr>
      </w:pPr>
    </w:p>
    <w:p w14:paraId="521D369F" w14:textId="77777777" w:rsidR="00297ADF" w:rsidRPr="00297ADF" w:rsidRDefault="00297ADF" w:rsidP="00297ADF">
      <w:pPr>
        <w:jc w:val="both"/>
        <w:rPr>
          <w:rFonts w:ascii="Arial" w:eastAsia="Calibri" w:hAnsi="Arial" w:cs="Times New Roman"/>
          <w:sz w:val="20"/>
        </w:rPr>
      </w:pPr>
      <w:r w:rsidRPr="00297ADF">
        <w:rPr>
          <w:rFonts w:ascii="Arial" w:eastAsia="Calibri" w:hAnsi="Arial" w:cs="Times New Roman"/>
          <w:sz w:val="20"/>
        </w:rPr>
        <w:t>Del total del activo no circulante, el 1.6 % corresponde a este rubro.</w:t>
      </w:r>
    </w:p>
    <w:p w14:paraId="45C5660D" w14:textId="77777777" w:rsidR="00297ADF" w:rsidRPr="00297ADF" w:rsidRDefault="00297ADF" w:rsidP="00297ADF">
      <w:pPr>
        <w:jc w:val="both"/>
        <w:rPr>
          <w:rFonts w:ascii="Arial" w:eastAsia="Calibri" w:hAnsi="Arial" w:cs="Times New Roman"/>
          <w:sz w:val="20"/>
        </w:rPr>
      </w:pPr>
    </w:p>
    <w:p w14:paraId="40E8D6F7" w14:textId="77777777" w:rsidR="00297ADF" w:rsidRPr="00297ADF" w:rsidRDefault="00297ADF" w:rsidP="00297ADF">
      <w:pPr>
        <w:jc w:val="both"/>
        <w:rPr>
          <w:rFonts w:ascii="Arial" w:eastAsia="Calibri" w:hAnsi="Arial" w:cs="Times New Roman"/>
          <w:b/>
          <w:sz w:val="20"/>
        </w:rPr>
      </w:pPr>
      <w:r w:rsidRPr="00297ADF">
        <w:rPr>
          <w:rFonts w:ascii="Arial" w:eastAsia="Calibri" w:hAnsi="Arial" w:cs="Times New Roman"/>
          <w:sz w:val="20"/>
        </w:rPr>
        <w:t>Títulos y valores a largo plazo</w:t>
      </w:r>
      <w:r w:rsidRPr="00297ADF">
        <w:rPr>
          <w:rFonts w:ascii="Arial" w:eastAsia="Calibri" w:hAnsi="Arial" w:cs="Times New Roman"/>
          <w:b/>
          <w:sz w:val="20"/>
        </w:rPr>
        <w:t xml:space="preserve">, </w:t>
      </w:r>
      <w:r w:rsidRPr="00297ADF">
        <w:rPr>
          <w:rFonts w:ascii="Arial" w:eastAsia="Calibri" w:hAnsi="Arial" w:cs="Times New Roman"/>
          <w:sz w:val="20"/>
        </w:rPr>
        <w:t>integrado por la concesión de créditos, protección social en salud y por las aportaciones de capital en el sector privado. A continuación, se mencionan los conceptos más representativos:</w:t>
      </w:r>
    </w:p>
    <w:p w14:paraId="3F8B9E31" w14:textId="77777777" w:rsidR="00297ADF" w:rsidRPr="00297ADF" w:rsidRDefault="00297ADF" w:rsidP="00297ADF">
      <w:pPr>
        <w:jc w:val="both"/>
        <w:rPr>
          <w:rFonts w:ascii="Arial" w:eastAsia="Calibri" w:hAnsi="Arial" w:cs="Arial"/>
          <w:sz w:val="20"/>
          <w:szCs w:val="20"/>
        </w:rPr>
      </w:pPr>
    </w:p>
    <w:p w14:paraId="6A409D2F"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Protección social en salud.</w:t>
      </w:r>
    </w:p>
    <w:p w14:paraId="4BDAF6AE"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Chiapas-SINCA.</w:t>
      </w:r>
    </w:p>
    <w:p w14:paraId="2A364C8D"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Concesión de créditos a productores.</w:t>
      </w:r>
    </w:p>
    <w:p w14:paraId="002380D0" w14:textId="77777777" w:rsidR="00297ADF" w:rsidRPr="00297ADF" w:rsidRDefault="00297ADF" w:rsidP="00297ADF">
      <w:pPr>
        <w:jc w:val="both"/>
        <w:rPr>
          <w:rFonts w:ascii="Arial" w:eastAsia="Calibri" w:hAnsi="Arial" w:cs="Arial"/>
          <w:sz w:val="20"/>
          <w:szCs w:val="20"/>
        </w:rPr>
      </w:pPr>
    </w:p>
    <w:p w14:paraId="6D1158E4"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Fideicomisos, mandatos y contratos análogos destacándose los siguientes:</w:t>
      </w:r>
    </w:p>
    <w:p w14:paraId="4D8C1EE9" w14:textId="77777777" w:rsidR="00297ADF" w:rsidRPr="00297ADF" w:rsidRDefault="00297ADF" w:rsidP="00297ADF">
      <w:pPr>
        <w:jc w:val="both"/>
        <w:rPr>
          <w:rFonts w:ascii="Arial" w:eastAsia="Calibri" w:hAnsi="Arial" w:cs="Arial"/>
          <w:sz w:val="20"/>
          <w:szCs w:val="20"/>
        </w:rPr>
      </w:pPr>
    </w:p>
    <w:p w14:paraId="138AB115"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de Apoyo a la Economía de las Mujeres (FAEM).</w:t>
      </w:r>
    </w:p>
    <w:p w14:paraId="4AB81D56"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Estatal Ambiental (FESA).</w:t>
      </w:r>
    </w:p>
    <w:p w14:paraId="144A5A9D"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Fortalecimiento al Fondo de Financiamiento para las Empresas de Solidaridad Social del Sector Artesanal de Chiapas (FOFESSA).</w:t>
      </w:r>
    </w:p>
    <w:p w14:paraId="038301DF"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 xml:space="preserve">Fideicomiso para la Habilitación y Administración del Recinto Fiscalizado Estratégico Puerto Chiapas. </w:t>
      </w:r>
    </w:p>
    <w:p w14:paraId="53EB6A67"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de Fomento Económico Chiapas Solidario (FOFOE).</w:t>
      </w:r>
    </w:p>
    <w:p w14:paraId="095DD992"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Fideicomiso para el Impulso de Programas Prioritarios en el Estado de Chiapas (FIPRECH).</w:t>
      </w:r>
    </w:p>
    <w:p w14:paraId="70707BF2"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de Fomento Agropecuario del Estado de Chiapas (FOFAE).</w:t>
      </w:r>
    </w:p>
    <w:p w14:paraId="264FDED0"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Fideicomiso del Fondo Estatal de Desarrollo Comercial, Agropecuario y Agroindustrial (FEDCAA).</w:t>
      </w:r>
    </w:p>
    <w:p w14:paraId="61239A9E"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lastRenderedPageBreak/>
        <w:t>Fideicomiso de Apoyo a las Necesidades de los Cafeticultores del Estado de Chiapas (FANCAFE).</w:t>
      </w:r>
    </w:p>
    <w:p w14:paraId="2DEF7D0F"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Fideicomiso para la Promoción, Difusión y Comercialización de los Atractivos Turísticos del Estado de Chiapas (FIDETUR).</w:t>
      </w:r>
    </w:p>
    <w:p w14:paraId="579D843C"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Fideicomiso Irrevocable de Inversión y Administración para el Programa Especial de Financiamiento a la Vivienda para el Magisterio del Estado de Chiapas (FOVIMCHIS).</w:t>
      </w:r>
    </w:p>
    <w:p w14:paraId="50E6DF31"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 xml:space="preserve">Fideicomiso de Apoyo de Tecnologías Educativas y de la Información para Maestros de Educación Básica del Estado de Chiapas (FOAPES). </w:t>
      </w:r>
    </w:p>
    <w:p w14:paraId="440D3C22"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Fondo para la Modernización y Mantenimiento de la Infraestructura Institucional y el Mejoramiento de la Organización Electoral.</w:t>
      </w:r>
    </w:p>
    <w:p w14:paraId="4AC8BC51"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Programa de Mejoramiento del Profesorado (PROMEP).</w:t>
      </w:r>
    </w:p>
    <w:p w14:paraId="11ED52B5"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Asimismo, se encuentran las participaciones y aportaciones de capital:</w:t>
      </w:r>
    </w:p>
    <w:p w14:paraId="588AB714" w14:textId="77777777" w:rsidR="00297ADF" w:rsidRPr="00297ADF" w:rsidRDefault="00297ADF" w:rsidP="00297ADF">
      <w:pPr>
        <w:jc w:val="both"/>
        <w:rPr>
          <w:rFonts w:ascii="Arial" w:eastAsia="Calibri" w:hAnsi="Arial" w:cs="Arial"/>
          <w:sz w:val="20"/>
          <w:szCs w:val="20"/>
        </w:rPr>
      </w:pPr>
    </w:p>
    <w:p w14:paraId="5C9E657D"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Acciones y participaciones en el sector público.</w:t>
      </w:r>
    </w:p>
    <w:p w14:paraId="43A8437A"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Vector, S.A. de C.V.</w:t>
      </w:r>
    </w:p>
    <w:p w14:paraId="29317BB5" w14:textId="77777777" w:rsidR="00297ADF" w:rsidRPr="00297ADF" w:rsidRDefault="00297ADF" w:rsidP="00297ADF">
      <w:pPr>
        <w:numPr>
          <w:ilvl w:val="0"/>
          <w:numId w:val="26"/>
        </w:numPr>
        <w:spacing w:after="120"/>
        <w:ind w:left="357" w:hanging="357"/>
        <w:jc w:val="both"/>
        <w:rPr>
          <w:rFonts w:ascii="Arial" w:eastAsia="Times New Roman" w:hAnsi="Arial" w:cs="Arial"/>
          <w:sz w:val="20"/>
          <w:szCs w:val="20"/>
          <w:lang w:eastAsia="es-MX"/>
        </w:rPr>
      </w:pPr>
      <w:r w:rsidRPr="00297ADF">
        <w:rPr>
          <w:rFonts w:ascii="Arial" w:eastAsia="Times New Roman" w:hAnsi="Arial" w:cs="Arial"/>
          <w:sz w:val="20"/>
          <w:szCs w:val="20"/>
          <w:lang w:eastAsia="es-MX"/>
        </w:rPr>
        <w:t>Protección social en salud.</w:t>
      </w:r>
    </w:p>
    <w:p w14:paraId="6A63A72B" w14:textId="77777777" w:rsidR="00297ADF" w:rsidRPr="00297ADF" w:rsidRDefault="00297ADF" w:rsidP="00297ADF">
      <w:pPr>
        <w:jc w:val="both"/>
        <w:rPr>
          <w:rFonts w:ascii="Arial" w:eastAsia="Calibri" w:hAnsi="Arial" w:cs="Arial"/>
          <w:sz w:val="20"/>
          <w:szCs w:val="20"/>
        </w:rPr>
      </w:pPr>
    </w:p>
    <w:p w14:paraId="0C11035A" w14:textId="77777777" w:rsidR="00297ADF" w:rsidRPr="00297ADF" w:rsidRDefault="00297ADF" w:rsidP="00297ADF">
      <w:pPr>
        <w:jc w:val="center"/>
        <w:rPr>
          <w:rFonts w:ascii="Arial" w:eastAsia="Calibri" w:hAnsi="Arial" w:cs="Arial"/>
          <w:sz w:val="20"/>
          <w:szCs w:val="20"/>
        </w:rPr>
      </w:pPr>
      <w:r w:rsidRPr="00297ADF">
        <w:rPr>
          <w:noProof/>
          <w:lang w:eastAsia="es-MX"/>
        </w:rPr>
        <w:drawing>
          <wp:inline distT="0" distB="0" distL="0" distR="0" wp14:anchorId="4D4C9382" wp14:editId="0DC3D29F">
            <wp:extent cx="3708400" cy="1388745"/>
            <wp:effectExtent l="0" t="0" r="635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03BA484D" w14:textId="77777777" w:rsidR="00297ADF" w:rsidRPr="00297ADF" w:rsidRDefault="00297ADF" w:rsidP="00297ADF">
      <w:pPr>
        <w:jc w:val="both"/>
        <w:rPr>
          <w:rFonts w:ascii="Arial" w:eastAsia="Calibri" w:hAnsi="Arial" w:cs="Arial"/>
          <w:sz w:val="20"/>
          <w:szCs w:val="20"/>
        </w:rPr>
      </w:pPr>
    </w:p>
    <w:p w14:paraId="1C7452B8" w14:textId="77777777" w:rsidR="00297ADF" w:rsidRPr="00297ADF" w:rsidRDefault="00297ADF" w:rsidP="00297ADF">
      <w:pPr>
        <w:jc w:val="both"/>
        <w:rPr>
          <w:rFonts w:ascii="Arial" w:eastAsia="Calibri" w:hAnsi="Arial" w:cs="Arial"/>
          <w:sz w:val="20"/>
          <w:szCs w:val="20"/>
        </w:rPr>
      </w:pPr>
    </w:p>
    <w:p w14:paraId="35961EC8"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Derechos a recibir efectivo o equivalentes a largo plazo</w:t>
      </w:r>
    </w:p>
    <w:p w14:paraId="5B27B280" w14:textId="77777777" w:rsidR="00297ADF" w:rsidRPr="00297ADF" w:rsidRDefault="00297ADF" w:rsidP="00297ADF">
      <w:pPr>
        <w:autoSpaceDE w:val="0"/>
        <w:autoSpaceDN w:val="0"/>
        <w:adjustRightInd w:val="0"/>
        <w:jc w:val="both"/>
        <w:rPr>
          <w:rFonts w:ascii="Arial" w:eastAsia="Calibri" w:hAnsi="Arial" w:cs="Arial"/>
          <w:sz w:val="20"/>
          <w:szCs w:val="20"/>
        </w:rPr>
      </w:pPr>
    </w:p>
    <w:p w14:paraId="1CF7BC28"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 xml:space="preserve">Este rubro del activo asciende a $ 4,305,909,903 pesos </w:t>
      </w:r>
      <w:r w:rsidRPr="00297ADF">
        <w:rPr>
          <w:rFonts w:ascii="Arial" w:eastAsia="Calibri" w:hAnsi="Arial" w:cs="Arial"/>
          <w:sz w:val="20"/>
          <w:szCs w:val="20"/>
        </w:rPr>
        <w:t>al 31 de marzo de 2024</w:t>
      </w:r>
      <w:r w:rsidRPr="00297ADF">
        <w:rPr>
          <w:rFonts w:ascii="Arial" w:eastAsia="Arial" w:hAnsi="Arial" w:cs="Arial"/>
          <w:sz w:val="20"/>
          <w:szCs w:val="20"/>
        </w:rPr>
        <w:t xml:space="preserve"> y representa el 6.8 % del total del activo no circulante y se integra por:</w:t>
      </w:r>
    </w:p>
    <w:p w14:paraId="66FA1455" w14:textId="77777777" w:rsidR="00297ADF" w:rsidRPr="00297ADF" w:rsidRDefault="00297ADF" w:rsidP="00297ADF">
      <w:pPr>
        <w:jc w:val="both"/>
        <w:rPr>
          <w:rFonts w:ascii="Arial" w:eastAsia="Arial" w:hAnsi="Arial" w:cs="Arial"/>
          <w:sz w:val="20"/>
          <w:szCs w:val="20"/>
        </w:rPr>
      </w:pPr>
    </w:p>
    <w:p w14:paraId="22EAFDDD"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Los anticipos de ministraciones a municipios, las ministraciones por depositar a la Universidad Autónoma de Chiapas de subsidios federales y estatales, los préstamos a largo plazo concedidos a funcionarios y empleados del Gobierno del Estado pendientes de recuperar, los préstamos con recursos ajenos, los préstamos para programas agropecuarios, así como, por las cuotas y aportaciones patronales pagadas en demasía.</w:t>
      </w:r>
    </w:p>
    <w:p w14:paraId="2C19B9DD" w14:textId="77777777" w:rsidR="00297ADF" w:rsidRPr="00297ADF" w:rsidRDefault="00297ADF" w:rsidP="00297ADF">
      <w:pPr>
        <w:jc w:val="both"/>
        <w:rPr>
          <w:rFonts w:ascii="Arial" w:eastAsia="Arial" w:hAnsi="Arial" w:cs="Arial"/>
          <w:sz w:val="20"/>
          <w:szCs w:val="20"/>
        </w:rPr>
      </w:pPr>
    </w:p>
    <w:p w14:paraId="71FC1E10"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 xml:space="preserve">Los descuentos realizados a la participación federal por concepto de adeudos al Instituto de Seguridad y Servicios Sociales de los Trabajadores del Estado (ISSSTE) y del Impuesto Sobre la Renta (ISR); deudores morosos por gastos a comprobar, deudores por responsabilidades, deudores por obra pública (cadenas productivas), deudores por financiamiento, deudores sujetos a resolución judicial por concepto de manejo de valores y bienes inventariables,  pagos en demasía, cheques devueltos, préstamos del fondo auxiliar y cargos bancarios por aclarar. </w:t>
      </w:r>
    </w:p>
    <w:p w14:paraId="701A304A" w14:textId="77777777" w:rsidR="00297ADF" w:rsidRPr="00297ADF" w:rsidRDefault="00297ADF" w:rsidP="00297ADF">
      <w:pPr>
        <w:jc w:val="both"/>
        <w:rPr>
          <w:rFonts w:ascii="Arial" w:eastAsia="Arial" w:hAnsi="Arial" w:cs="Arial"/>
          <w:sz w:val="20"/>
          <w:szCs w:val="20"/>
        </w:rPr>
      </w:pPr>
    </w:p>
    <w:p w14:paraId="37BB770D"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 xml:space="preserve">Los ingresos por recuperar principalmente de ingresos estatales, así como, del fondo general de participaciones, otros convenios, programas sujetos a reglas de operación y de otros subsidios de entes públicos. Además, se incluyen los anticipos de ministraciones a las entidades paraestatales por regularizar. </w:t>
      </w:r>
    </w:p>
    <w:p w14:paraId="2DD3046B" w14:textId="77777777" w:rsidR="00297ADF" w:rsidRPr="00297ADF" w:rsidRDefault="00297ADF" w:rsidP="00297ADF">
      <w:pPr>
        <w:jc w:val="both"/>
        <w:rPr>
          <w:rFonts w:ascii="Arial" w:eastAsia="Arial" w:hAnsi="Arial" w:cs="Arial"/>
          <w:sz w:val="20"/>
          <w:szCs w:val="20"/>
        </w:rPr>
      </w:pPr>
    </w:p>
    <w:p w14:paraId="135D366B"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También, forma parte el saldo de fondos comprometidos de gasto corriente, principalmente del Fondo para la Construcción, Rehabilitación, Mantenimiento y Equipo de Espacios Educativos, así como, los recursos del Fondo de Aportaciones para los Servicios de Salud, los rendimientos, los remanentes de recursos, la emisión de cheques de caja y los traspasos de recursos efectuados por los entes públicos a la Universidad Autónoma de Chiapas, pendientes de regularizar.</w:t>
      </w:r>
    </w:p>
    <w:p w14:paraId="0A5FB8E6" w14:textId="77777777" w:rsidR="00297ADF" w:rsidRPr="00297ADF" w:rsidRDefault="00297ADF" w:rsidP="00297ADF">
      <w:pPr>
        <w:jc w:val="center"/>
        <w:rPr>
          <w:rFonts w:ascii="Arial" w:eastAsia="Calibri" w:hAnsi="Arial" w:cs="Arial"/>
          <w:sz w:val="20"/>
          <w:szCs w:val="20"/>
        </w:rPr>
      </w:pPr>
      <w:r w:rsidRPr="00297ADF">
        <w:rPr>
          <w:noProof/>
          <w:lang w:eastAsia="es-MX"/>
        </w:rPr>
        <w:lastRenderedPageBreak/>
        <w:drawing>
          <wp:inline distT="0" distB="0" distL="0" distR="0" wp14:anchorId="2C73E2EC" wp14:editId="74D5444F">
            <wp:extent cx="3708400" cy="154940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8400" cy="1549400"/>
                    </a:xfrm>
                    <a:prstGeom prst="rect">
                      <a:avLst/>
                    </a:prstGeom>
                    <a:noFill/>
                    <a:ln>
                      <a:noFill/>
                    </a:ln>
                  </pic:spPr>
                </pic:pic>
              </a:graphicData>
            </a:graphic>
          </wp:inline>
        </w:drawing>
      </w:r>
    </w:p>
    <w:p w14:paraId="154515EA" w14:textId="77777777" w:rsidR="00297ADF" w:rsidRPr="00297ADF" w:rsidRDefault="00297ADF" w:rsidP="00297ADF">
      <w:pPr>
        <w:jc w:val="both"/>
        <w:rPr>
          <w:rFonts w:ascii="Arial" w:eastAsia="Calibri" w:hAnsi="Arial" w:cs="Arial"/>
          <w:sz w:val="20"/>
          <w:szCs w:val="20"/>
        </w:rPr>
      </w:pPr>
    </w:p>
    <w:p w14:paraId="16667AFE" w14:textId="77777777" w:rsidR="00297ADF" w:rsidRPr="00297ADF" w:rsidRDefault="00297ADF" w:rsidP="00297ADF">
      <w:pPr>
        <w:jc w:val="both"/>
        <w:rPr>
          <w:rFonts w:ascii="Arial" w:eastAsia="Calibri" w:hAnsi="Arial" w:cs="Arial"/>
          <w:sz w:val="20"/>
          <w:szCs w:val="20"/>
        </w:rPr>
      </w:pPr>
    </w:p>
    <w:p w14:paraId="74891299"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Bienes inmuebles, infraestructura y construcciones en proceso</w:t>
      </w:r>
    </w:p>
    <w:p w14:paraId="499B7DDA" w14:textId="77777777" w:rsidR="00297ADF" w:rsidRPr="00297ADF" w:rsidRDefault="00297ADF" w:rsidP="00297ADF">
      <w:pPr>
        <w:jc w:val="both"/>
        <w:rPr>
          <w:rFonts w:ascii="Arial" w:eastAsia="Calibri" w:hAnsi="Arial" w:cs="Arial"/>
          <w:sz w:val="20"/>
          <w:szCs w:val="20"/>
        </w:rPr>
      </w:pPr>
    </w:p>
    <w:p w14:paraId="6D380137" w14:textId="77777777" w:rsidR="00297ADF" w:rsidRPr="00297ADF" w:rsidRDefault="00297ADF" w:rsidP="00297ADF">
      <w:pPr>
        <w:jc w:val="both"/>
        <w:rPr>
          <w:rFonts w:ascii="Arial" w:eastAsia="Calibri" w:hAnsi="Arial" w:cs="Arial"/>
          <w:b/>
          <w:bCs/>
          <w:i/>
          <w:iCs/>
          <w:sz w:val="20"/>
          <w:szCs w:val="20"/>
        </w:rPr>
      </w:pPr>
      <w:r w:rsidRPr="00297ADF">
        <w:rPr>
          <w:rFonts w:ascii="Arial" w:eastAsia="Calibri" w:hAnsi="Arial" w:cs="Arial"/>
          <w:sz w:val="20"/>
          <w:szCs w:val="20"/>
        </w:rPr>
        <w:t>Al 31 de marzo de 2024, este rubro del activo refleja la cifra de $ 48,396,023,098 pesos y representa el valor de toda la infraestructura tangible, edificios no habitacionales y terrenos propiedad del Gobierno del Estado, así como, el valor de las obras que se encuentran en proceso de ejecución, además, del valor de las obras terminadas por transferir.</w:t>
      </w:r>
    </w:p>
    <w:p w14:paraId="18937FD6" w14:textId="77777777" w:rsidR="00297ADF" w:rsidRPr="00297ADF" w:rsidRDefault="00297ADF" w:rsidP="00297ADF">
      <w:pPr>
        <w:autoSpaceDE w:val="0"/>
        <w:autoSpaceDN w:val="0"/>
        <w:adjustRightInd w:val="0"/>
        <w:jc w:val="both"/>
        <w:rPr>
          <w:rFonts w:ascii="Arial" w:eastAsia="Calibri" w:hAnsi="Arial" w:cs="Arial"/>
          <w:sz w:val="20"/>
          <w:szCs w:val="20"/>
        </w:rPr>
      </w:pPr>
    </w:p>
    <w:p w14:paraId="6D9BFB19"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Del total del activo no circulante, este rubro representa el 76.4 %.</w:t>
      </w:r>
    </w:p>
    <w:p w14:paraId="13FCDD6E" w14:textId="77777777" w:rsidR="00297ADF" w:rsidRPr="00297ADF" w:rsidRDefault="00297ADF" w:rsidP="00297ADF">
      <w:pPr>
        <w:autoSpaceDE w:val="0"/>
        <w:autoSpaceDN w:val="0"/>
        <w:adjustRightInd w:val="0"/>
        <w:jc w:val="both"/>
        <w:rPr>
          <w:rFonts w:ascii="Arial" w:eastAsia="Calibri" w:hAnsi="Arial" w:cs="Arial"/>
          <w:sz w:val="20"/>
          <w:szCs w:val="20"/>
        </w:rPr>
      </w:pPr>
    </w:p>
    <w:p w14:paraId="66C77570" w14:textId="77777777" w:rsidR="00297ADF" w:rsidRPr="00297ADF" w:rsidRDefault="00297ADF" w:rsidP="00297ADF">
      <w:pPr>
        <w:jc w:val="center"/>
        <w:rPr>
          <w:rFonts w:ascii="Arial" w:eastAsia="Calibri" w:hAnsi="Arial" w:cs="Arial"/>
          <w:sz w:val="20"/>
          <w:szCs w:val="20"/>
        </w:rPr>
      </w:pPr>
      <w:r w:rsidRPr="00297ADF">
        <w:rPr>
          <w:noProof/>
          <w:lang w:eastAsia="es-MX"/>
        </w:rPr>
        <w:drawing>
          <wp:inline distT="0" distB="0" distL="0" distR="0" wp14:anchorId="34AA7CF7" wp14:editId="0B88E9B9">
            <wp:extent cx="3708400" cy="15494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8400" cy="1549400"/>
                    </a:xfrm>
                    <a:prstGeom prst="rect">
                      <a:avLst/>
                    </a:prstGeom>
                    <a:noFill/>
                    <a:ln>
                      <a:noFill/>
                    </a:ln>
                  </pic:spPr>
                </pic:pic>
              </a:graphicData>
            </a:graphic>
          </wp:inline>
        </w:drawing>
      </w:r>
    </w:p>
    <w:p w14:paraId="0CF13789"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p>
    <w:p w14:paraId="1CEC4130"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p>
    <w:p w14:paraId="2E8D8DAE"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Bienes muebles</w:t>
      </w:r>
    </w:p>
    <w:p w14:paraId="07810B61" w14:textId="77777777" w:rsidR="00297ADF" w:rsidRPr="00297ADF" w:rsidRDefault="00297ADF" w:rsidP="00297ADF">
      <w:pPr>
        <w:autoSpaceDE w:val="0"/>
        <w:autoSpaceDN w:val="0"/>
        <w:adjustRightInd w:val="0"/>
        <w:jc w:val="both"/>
        <w:rPr>
          <w:rFonts w:ascii="Arial" w:eastAsia="Calibri" w:hAnsi="Arial" w:cs="Arial"/>
          <w:sz w:val="20"/>
          <w:szCs w:val="20"/>
        </w:rPr>
      </w:pPr>
    </w:p>
    <w:p w14:paraId="7C9E406E"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Este renglón del activo refleja el valor de los bienes muebles que posee el Gobierno del Estado al 31 de marzo de 2024, el cual asciende a un monto global de  $ 4,815,451,219 pesos y  representa el 7.6 %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entes públicos que lo conforman. </w:t>
      </w:r>
    </w:p>
    <w:p w14:paraId="5E1AC501" w14:textId="77777777" w:rsidR="00297ADF" w:rsidRPr="00297ADF" w:rsidRDefault="00297ADF" w:rsidP="00297ADF">
      <w:pPr>
        <w:autoSpaceDE w:val="0"/>
        <w:autoSpaceDN w:val="0"/>
        <w:adjustRightInd w:val="0"/>
        <w:jc w:val="both"/>
        <w:rPr>
          <w:rFonts w:ascii="Arial" w:eastAsia="Calibri" w:hAnsi="Arial" w:cs="Arial"/>
          <w:sz w:val="20"/>
          <w:szCs w:val="20"/>
        </w:rPr>
      </w:pPr>
    </w:p>
    <w:p w14:paraId="440499BF"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drawing>
          <wp:inline distT="0" distB="0" distL="0" distR="0" wp14:anchorId="1E7B1774" wp14:editId="733F8E49">
            <wp:extent cx="3708400" cy="1388745"/>
            <wp:effectExtent l="0" t="0" r="635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7F8AFAD1" w14:textId="77777777" w:rsidR="00297ADF" w:rsidRPr="00297ADF" w:rsidRDefault="00297ADF" w:rsidP="00297ADF">
      <w:pPr>
        <w:autoSpaceDE w:val="0"/>
        <w:autoSpaceDN w:val="0"/>
        <w:adjustRightInd w:val="0"/>
        <w:jc w:val="both"/>
        <w:rPr>
          <w:rFonts w:ascii="Arial" w:eastAsia="Calibri" w:hAnsi="Arial" w:cs="Arial"/>
          <w:sz w:val="20"/>
          <w:szCs w:val="20"/>
        </w:rPr>
      </w:pPr>
    </w:p>
    <w:p w14:paraId="11C51A3E" w14:textId="77777777" w:rsidR="00297ADF" w:rsidRPr="00297ADF" w:rsidRDefault="00297ADF" w:rsidP="00297ADF">
      <w:pPr>
        <w:autoSpaceDE w:val="0"/>
        <w:autoSpaceDN w:val="0"/>
        <w:adjustRightInd w:val="0"/>
        <w:jc w:val="both"/>
        <w:rPr>
          <w:rFonts w:ascii="Arial" w:eastAsia="Calibri" w:hAnsi="Arial" w:cs="Arial"/>
          <w:sz w:val="20"/>
          <w:szCs w:val="20"/>
        </w:rPr>
      </w:pPr>
    </w:p>
    <w:p w14:paraId="518C68CE"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Activos intangibles</w:t>
      </w:r>
    </w:p>
    <w:p w14:paraId="129D8E17" w14:textId="77777777" w:rsidR="00297ADF" w:rsidRPr="00297ADF" w:rsidRDefault="00297ADF" w:rsidP="00297ADF">
      <w:pPr>
        <w:autoSpaceDE w:val="0"/>
        <w:autoSpaceDN w:val="0"/>
        <w:adjustRightInd w:val="0"/>
        <w:jc w:val="both"/>
        <w:rPr>
          <w:rFonts w:ascii="Arial" w:eastAsia="Calibri" w:hAnsi="Arial" w:cs="Arial"/>
          <w:sz w:val="20"/>
          <w:szCs w:val="20"/>
        </w:rPr>
      </w:pPr>
    </w:p>
    <w:p w14:paraId="4160C75F"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Al 31 de marzo de 2024, este rubro asciende a $ 463,426,922 pesos y representa el valor de todos los bienes intangibles que posee el Gobierno del Estado, como son: software, patentes, marcas y derechos, concesiones y franquicias, </w:t>
      </w:r>
      <w:r w:rsidRPr="00297ADF">
        <w:rPr>
          <w:rFonts w:ascii="Arial" w:eastAsia="Calibri" w:hAnsi="Arial" w:cs="Arial"/>
          <w:sz w:val="20"/>
          <w:szCs w:val="20"/>
        </w:rPr>
        <w:lastRenderedPageBreak/>
        <w:t>licencias, y otros activos intangibles, los cuales son necesarios para la operatividad y funcionamiento de las áreas administrativas de los entes públicos que la conforma.</w:t>
      </w:r>
    </w:p>
    <w:p w14:paraId="38CD5823" w14:textId="77777777" w:rsidR="00297ADF" w:rsidRPr="00297ADF" w:rsidRDefault="00297ADF" w:rsidP="00297ADF">
      <w:pPr>
        <w:autoSpaceDE w:val="0"/>
        <w:autoSpaceDN w:val="0"/>
        <w:adjustRightInd w:val="0"/>
        <w:jc w:val="both"/>
        <w:rPr>
          <w:rFonts w:ascii="Arial" w:eastAsia="Calibri" w:hAnsi="Arial" w:cs="Arial"/>
          <w:sz w:val="20"/>
          <w:szCs w:val="20"/>
        </w:rPr>
      </w:pPr>
    </w:p>
    <w:p w14:paraId="38BAFB46"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Este rubro representa el 0.7 % del total del activo no circulante.</w:t>
      </w:r>
    </w:p>
    <w:p w14:paraId="78468DFC" w14:textId="77777777" w:rsidR="00297ADF" w:rsidRPr="00297ADF" w:rsidRDefault="00297ADF" w:rsidP="00297ADF">
      <w:pPr>
        <w:autoSpaceDE w:val="0"/>
        <w:autoSpaceDN w:val="0"/>
        <w:adjustRightInd w:val="0"/>
        <w:jc w:val="both"/>
        <w:rPr>
          <w:rFonts w:ascii="Arial" w:eastAsia="Calibri" w:hAnsi="Arial" w:cs="Arial"/>
          <w:sz w:val="20"/>
          <w:szCs w:val="20"/>
        </w:rPr>
      </w:pPr>
    </w:p>
    <w:p w14:paraId="45C1E96B"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drawing>
          <wp:inline distT="0" distB="0" distL="0" distR="0" wp14:anchorId="68427BDB" wp14:editId="59966BC8">
            <wp:extent cx="3708400" cy="1388745"/>
            <wp:effectExtent l="0" t="0" r="635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3B2484DD" w14:textId="77777777" w:rsidR="00297ADF" w:rsidRPr="00297ADF" w:rsidRDefault="00297ADF" w:rsidP="00297ADF">
      <w:pPr>
        <w:autoSpaceDE w:val="0"/>
        <w:autoSpaceDN w:val="0"/>
        <w:adjustRightInd w:val="0"/>
        <w:jc w:val="both"/>
        <w:rPr>
          <w:rFonts w:ascii="Arial" w:eastAsia="Calibri" w:hAnsi="Arial" w:cs="Arial"/>
          <w:sz w:val="20"/>
          <w:szCs w:val="20"/>
        </w:rPr>
      </w:pPr>
    </w:p>
    <w:p w14:paraId="0309E7B5" w14:textId="77777777" w:rsidR="00297ADF" w:rsidRPr="00297ADF" w:rsidRDefault="00297ADF" w:rsidP="00297ADF">
      <w:pPr>
        <w:autoSpaceDE w:val="0"/>
        <w:autoSpaceDN w:val="0"/>
        <w:adjustRightInd w:val="0"/>
        <w:jc w:val="both"/>
        <w:rPr>
          <w:rFonts w:ascii="Arial" w:eastAsia="Calibri" w:hAnsi="Arial" w:cs="Arial"/>
          <w:sz w:val="20"/>
          <w:szCs w:val="20"/>
        </w:rPr>
      </w:pPr>
    </w:p>
    <w:p w14:paraId="2E0AC0EE"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Depreciación, deterioro y amortización acumulada de bienes</w:t>
      </w:r>
    </w:p>
    <w:p w14:paraId="6D982A73" w14:textId="77777777" w:rsidR="00297ADF" w:rsidRPr="00297ADF" w:rsidRDefault="00297ADF" w:rsidP="00297ADF">
      <w:pPr>
        <w:jc w:val="both"/>
        <w:outlineLvl w:val="0"/>
        <w:rPr>
          <w:rFonts w:ascii="Arial" w:eastAsia="Calibri" w:hAnsi="Arial" w:cs="Arial"/>
          <w:b/>
          <w:bCs/>
          <w:sz w:val="20"/>
          <w:szCs w:val="20"/>
        </w:rPr>
      </w:pPr>
    </w:p>
    <w:p w14:paraId="01A17345" w14:textId="77777777" w:rsidR="00297ADF" w:rsidRPr="00297ADF" w:rsidRDefault="00297ADF" w:rsidP="00297ADF">
      <w:pPr>
        <w:jc w:val="both"/>
        <w:outlineLvl w:val="0"/>
        <w:rPr>
          <w:rFonts w:ascii="Arial" w:eastAsia="Calibri" w:hAnsi="Arial" w:cs="Arial"/>
          <w:bCs/>
          <w:sz w:val="20"/>
          <w:szCs w:val="20"/>
        </w:rPr>
      </w:pPr>
      <w:r w:rsidRPr="00297ADF">
        <w:rPr>
          <w:rFonts w:ascii="Arial" w:eastAsia="Calibri" w:hAnsi="Arial" w:cs="Arial"/>
          <w:bCs/>
          <w:sz w:val="20"/>
          <w:szCs w:val="20"/>
        </w:rPr>
        <w:t xml:space="preserve">El saldo negativo de este rubro del activo por $ 165,982,094 pesos, representa el valor de la depreciación, deterioro y amortización efectuada a los bienes tangibles e intangibles, que forman parte de los activos de los entes públicos del Gobierno del Estado, utilizando el procedimiento establecido por el Consejo Nacional de Armonización Contable (CONAC), aplicados por los entes públicos en el ejercicio 2024. </w:t>
      </w:r>
    </w:p>
    <w:p w14:paraId="29CFCA5A" w14:textId="77777777" w:rsidR="00297ADF" w:rsidRPr="00297ADF" w:rsidRDefault="00297ADF" w:rsidP="00297ADF">
      <w:pPr>
        <w:jc w:val="both"/>
        <w:outlineLvl w:val="0"/>
        <w:rPr>
          <w:rFonts w:ascii="Arial" w:eastAsia="Calibri" w:hAnsi="Arial" w:cs="Arial"/>
          <w:bCs/>
          <w:sz w:val="20"/>
          <w:szCs w:val="20"/>
        </w:rPr>
      </w:pPr>
    </w:p>
    <w:p w14:paraId="23929F96" w14:textId="77777777" w:rsidR="00297ADF" w:rsidRPr="00297ADF" w:rsidRDefault="00297ADF" w:rsidP="00297ADF">
      <w:pPr>
        <w:jc w:val="both"/>
        <w:outlineLvl w:val="0"/>
        <w:rPr>
          <w:rFonts w:ascii="Arial" w:eastAsia="Calibri" w:hAnsi="Arial" w:cs="Arial"/>
          <w:bCs/>
          <w:sz w:val="20"/>
          <w:szCs w:val="20"/>
        </w:rPr>
      </w:pPr>
      <w:r w:rsidRPr="00297ADF">
        <w:rPr>
          <w:rFonts w:ascii="Arial" w:eastAsia="Calibri" w:hAnsi="Arial" w:cs="Arial"/>
          <w:bCs/>
          <w:sz w:val="20"/>
          <w:szCs w:val="20"/>
        </w:rPr>
        <w:t>A la fecha que se informa este rubro representa una disminución del 0.2 % respecto al total del activo no circulante.</w:t>
      </w:r>
    </w:p>
    <w:p w14:paraId="4B010802" w14:textId="77777777" w:rsidR="00297ADF" w:rsidRPr="00297ADF" w:rsidRDefault="00297ADF" w:rsidP="00297ADF">
      <w:pPr>
        <w:jc w:val="both"/>
        <w:outlineLvl w:val="0"/>
        <w:rPr>
          <w:rFonts w:ascii="Arial" w:eastAsia="Calibri" w:hAnsi="Arial" w:cs="Arial"/>
          <w:bCs/>
          <w:sz w:val="20"/>
          <w:szCs w:val="20"/>
        </w:rPr>
      </w:pPr>
    </w:p>
    <w:p w14:paraId="019D1401" w14:textId="77777777" w:rsidR="00297ADF" w:rsidRPr="00297ADF" w:rsidRDefault="00297ADF" w:rsidP="00297ADF">
      <w:pPr>
        <w:autoSpaceDE w:val="0"/>
        <w:autoSpaceDN w:val="0"/>
        <w:adjustRightInd w:val="0"/>
        <w:jc w:val="center"/>
        <w:outlineLvl w:val="0"/>
        <w:rPr>
          <w:rFonts w:ascii="Arial" w:eastAsia="Calibri" w:hAnsi="Arial" w:cs="Arial"/>
          <w:b/>
          <w:bCs/>
          <w:i/>
          <w:iCs/>
          <w:sz w:val="20"/>
          <w:szCs w:val="20"/>
        </w:rPr>
      </w:pPr>
      <w:r w:rsidRPr="00297ADF">
        <w:rPr>
          <w:noProof/>
          <w:lang w:eastAsia="es-MX"/>
        </w:rPr>
        <w:drawing>
          <wp:inline distT="0" distB="0" distL="0" distR="0" wp14:anchorId="7AB1AEB8" wp14:editId="0D88CB99">
            <wp:extent cx="3708400" cy="154940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8400" cy="1549400"/>
                    </a:xfrm>
                    <a:prstGeom prst="rect">
                      <a:avLst/>
                    </a:prstGeom>
                    <a:noFill/>
                    <a:ln>
                      <a:noFill/>
                    </a:ln>
                  </pic:spPr>
                </pic:pic>
              </a:graphicData>
            </a:graphic>
          </wp:inline>
        </w:drawing>
      </w:r>
    </w:p>
    <w:p w14:paraId="021508F0" w14:textId="77777777" w:rsidR="00297ADF" w:rsidRPr="00297ADF" w:rsidRDefault="00297ADF" w:rsidP="00297ADF">
      <w:pPr>
        <w:autoSpaceDE w:val="0"/>
        <w:autoSpaceDN w:val="0"/>
        <w:adjustRightInd w:val="0"/>
        <w:jc w:val="both"/>
        <w:outlineLvl w:val="0"/>
        <w:rPr>
          <w:rFonts w:ascii="Arial" w:eastAsia="Calibri" w:hAnsi="Arial" w:cs="Arial"/>
          <w:b/>
          <w:bCs/>
          <w:i/>
          <w:iCs/>
          <w:sz w:val="20"/>
          <w:szCs w:val="20"/>
        </w:rPr>
      </w:pPr>
    </w:p>
    <w:p w14:paraId="7C0496DB" w14:textId="77777777" w:rsidR="00297ADF" w:rsidRPr="00297ADF" w:rsidRDefault="00297ADF" w:rsidP="00297ADF">
      <w:pPr>
        <w:autoSpaceDE w:val="0"/>
        <w:autoSpaceDN w:val="0"/>
        <w:adjustRightInd w:val="0"/>
        <w:jc w:val="both"/>
        <w:outlineLvl w:val="0"/>
        <w:rPr>
          <w:rFonts w:ascii="Arial" w:eastAsia="Calibri" w:hAnsi="Arial" w:cs="Arial"/>
          <w:b/>
          <w:bCs/>
          <w:i/>
          <w:iCs/>
          <w:sz w:val="20"/>
          <w:szCs w:val="20"/>
        </w:rPr>
      </w:pPr>
    </w:p>
    <w:p w14:paraId="571C59AF"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Activos diferidos</w:t>
      </w:r>
    </w:p>
    <w:p w14:paraId="75A9857C" w14:textId="77777777" w:rsidR="00297ADF" w:rsidRPr="00297ADF" w:rsidRDefault="00297ADF" w:rsidP="00297ADF">
      <w:pPr>
        <w:jc w:val="both"/>
        <w:outlineLvl w:val="0"/>
        <w:rPr>
          <w:rFonts w:ascii="Arial" w:eastAsia="Calibri" w:hAnsi="Arial" w:cs="Arial"/>
          <w:b/>
          <w:bCs/>
          <w:sz w:val="20"/>
          <w:szCs w:val="20"/>
        </w:rPr>
      </w:pPr>
    </w:p>
    <w:p w14:paraId="0372CA01"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 xml:space="preserve">El saldo de este rubro asciende a $ 4,401,795,524 pesos y se integra por estudios, formulación y evaluación de proyectos, orientados principalmente a la modernización, construcción y ampliación de caminos en los diferentes municipios del Estado por $ 171,210,165 pesos; asimismo, operaciones financieras transitorias por regularizar </w:t>
      </w:r>
      <w:r w:rsidRPr="00297ADF">
        <w:rPr>
          <w:rFonts w:ascii="Arial" w:eastAsia="Calibri" w:hAnsi="Arial" w:cs="Arial"/>
          <w:sz w:val="20"/>
          <w:szCs w:val="20"/>
        </w:rPr>
        <w:t>al 31 de marzo de 2024</w:t>
      </w:r>
      <w:r w:rsidRPr="00297ADF">
        <w:rPr>
          <w:rFonts w:ascii="Arial" w:eastAsia="Arial" w:hAnsi="Arial" w:cs="Arial"/>
          <w:sz w:val="20"/>
          <w:szCs w:val="20"/>
        </w:rPr>
        <w:t>, de los cuales $ 2,787,</w:t>
      </w:r>
      <w:proofErr w:type="gramStart"/>
      <w:r w:rsidRPr="00297ADF">
        <w:rPr>
          <w:rFonts w:ascii="Arial" w:eastAsia="Arial" w:hAnsi="Arial" w:cs="Arial"/>
          <w:sz w:val="20"/>
          <w:szCs w:val="20"/>
        </w:rPr>
        <w:t>481,071 pesos corresponde</w:t>
      </w:r>
      <w:proofErr w:type="gramEnd"/>
      <w:r w:rsidRPr="00297ADF">
        <w:rPr>
          <w:rFonts w:ascii="Arial" w:eastAsia="Arial" w:hAnsi="Arial" w:cs="Arial"/>
          <w:sz w:val="20"/>
          <w:szCs w:val="20"/>
        </w:rPr>
        <w:t xml:space="preserve"> a ejercicios anteriores y $ 48,853,971 pesos del periodo que se informa.</w:t>
      </w:r>
    </w:p>
    <w:p w14:paraId="65BC47D3" w14:textId="77777777" w:rsidR="00297ADF" w:rsidRPr="00297ADF" w:rsidRDefault="00297ADF" w:rsidP="00297ADF">
      <w:pPr>
        <w:jc w:val="both"/>
        <w:rPr>
          <w:rFonts w:ascii="Arial" w:eastAsia="Arial" w:hAnsi="Arial" w:cs="Arial"/>
          <w:sz w:val="20"/>
          <w:szCs w:val="20"/>
        </w:rPr>
      </w:pPr>
    </w:p>
    <w:p w14:paraId="031C6417"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También, dentro de este rubro se incluye los anticipos otorgados a proveedores por adquisición de bienes y prestación de servicios, y por los anticipos a contratistas por obras públicas a largo plazo, por $ 1,394,250,317 pesos.</w:t>
      </w:r>
    </w:p>
    <w:p w14:paraId="73387230" w14:textId="77777777" w:rsidR="00297ADF" w:rsidRPr="00297ADF" w:rsidRDefault="00297ADF" w:rsidP="00297ADF">
      <w:pPr>
        <w:jc w:val="both"/>
        <w:rPr>
          <w:rFonts w:ascii="Arial" w:eastAsia="Calibri" w:hAnsi="Arial" w:cs="Arial"/>
          <w:sz w:val="20"/>
          <w:szCs w:val="20"/>
        </w:rPr>
      </w:pPr>
    </w:p>
    <w:p w14:paraId="57817F3E"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A la fecha que se informa este rubro representa el 7 % respecto al total del activo no circulante.</w:t>
      </w:r>
    </w:p>
    <w:p w14:paraId="1DFB5C58" w14:textId="77777777" w:rsidR="00297ADF" w:rsidRPr="00297ADF" w:rsidRDefault="00297ADF" w:rsidP="00297ADF">
      <w:pPr>
        <w:autoSpaceDE w:val="0"/>
        <w:autoSpaceDN w:val="0"/>
        <w:adjustRightInd w:val="0"/>
        <w:jc w:val="both"/>
        <w:rPr>
          <w:rFonts w:ascii="Arial" w:eastAsia="Calibri" w:hAnsi="Arial" w:cs="Arial"/>
          <w:sz w:val="20"/>
          <w:szCs w:val="20"/>
        </w:rPr>
      </w:pPr>
    </w:p>
    <w:p w14:paraId="4F12683F"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lastRenderedPageBreak/>
        <w:drawing>
          <wp:inline distT="0" distB="0" distL="0" distR="0" wp14:anchorId="53F75EB5" wp14:editId="53F93373">
            <wp:extent cx="3708400" cy="1388745"/>
            <wp:effectExtent l="0" t="0" r="635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10360F48" w14:textId="77777777" w:rsidR="00297ADF" w:rsidRPr="00297ADF" w:rsidRDefault="00297ADF" w:rsidP="00297ADF">
      <w:pPr>
        <w:jc w:val="both"/>
        <w:rPr>
          <w:rFonts w:ascii="Arial" w:eastAsia="Calibri" w:hAnsi="Arial" w:cs="Arial"/>
          <w:sz w:val="20"/>
          <w:szCs w:val="20"/>
        </w:rPr>
      </w:pPr>
    </w:p>
    <w:p w14:paraId="04F50132" w14:textId="77777777" w:rsidR="00297ADF" w:rsidRPr="00297ADF" w:rsidRDefault="00297ADF" w:rsidP="00297ADF">
      <w:pPr>
        <w:jc w:val="both"/>
        <w:rPr>
          <w:rFonts w:ascii="Arial" w:eastAsia="Calibri" w:hAnsi="Arial" w:cs="Arial"/>
          <w:sz w:val="20"/>
          <w:szCs w:val="20"/>
        </w:rPr>
      </w:pPr>
    </w:p>
    <w:p w14:paraId="463B8BF1"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Otros activos no circulantes</w:t>
      </w:r>
    </w:p>
    <w:p w14:paraId="75747FE7" w14:textId="77777777" w:rsidR="00297ADF" w:rsidRPr="00297ADF" w:rsidRDefault="00297ADF" w:rsidP="00297ADF">
      <w:pPr>
        <w:autoSpaceDE w:val="0"/>
        <w:autoSpaceDN w:val="0"/>
        <w:adjustRightInd w:val="0"/>
        <w:jc w:val="both"/>
        <w:rPr>
          <w:rFonts w:ascii="Arial" w:eastAsia="Calibri" w:hAnsi="Arial" w:cs="Arial"/>
          <w:sz w:val="20"/>
          <w:szCs w:val="20"/>
        </w:rPr>
      </w:pPr>
    </w:p>
    <w:p w14:paraId="115BBB94"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El rubro de otros activos no circulantes, refleja el valor de los bienes muebles e inmuebles, propiedad del Gobierno del Estado, los cuales se encuentran bajo contrato de comodato. Estos bienes se otorgan entre los entes públicos. </w:t>
      </w:r>
    </w:p>
    <w:p w14:paraId="0737DD95" w14:textId="77777777" w:rsidR="00297ADF" w:rsidRPr="00297ADF" w:rsidRDefault="00297ADF" w:rsidP="00297ADF">
      <w:pPr>
        <w:autoSpaceDE w:val="0"/>
        <w:autoSpaceDN w:val="0"/>
        <w:adjustRightInd w:val="0"/>
        <w:jc w:val="both"/>
        <w:rPr>
          <w:rFonts w:ascii="Arial" w:eastAsia="Calibri" w:hAnsi="Arial" w:cs="Arial"/>
          <w:sz w:val="20"/>
          <w:szCs w:val="20"/>
        </w:rPr>
      </w:pPr>
    </w:p>
    <w:p w14:paraId="053C552E"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Al 31 de marzo de 2024, el saldo de este rubro asciende a $ 89,968,475 pesos y representa el 0.1 % respecto al total del activo no circulante.</w:t>
      </w:r>
    </w:p>
    <w:p w14:paraId="769C7417" w14:textId="77777777" w:rsidR="00297ADF" w:rsidRPr="00297ADF" w:rsidRDefault="00297ADF" w:rsidP="00297ADF">
      <w:pPr>
        <w:autoSpaceDE w:val="0"/>
        <w:autoSpaceDN w:val="0"/>
        <w:adjustRightInd w:val="0"/>
        <w:jc w:val="both"/>
        <w:rPr>
          <w:rFonts w:ascii="Arial" w:eastAsia="Calibri" w:hAnsi="Arial" w:cs="Arial"/>
          <w:sz w:val="20"/>
          <w:szCs w:val="20"/>
        </w:rPr>
      </w:pPr>
    </w:p>
    <w:p w14:paraId="6B1E80E7" w14:textId="77777777" w:rsidR="00297ADF" w:rsidRPr="00297ADF" w:rsidRDefault="00297ADF" w:rsidP="00297ADF">
      <w:pPr>
        <w:autoSpaceDE w:val="0"/>
        <w:autoSpaceDN w:val="0"/>
        <w:adjustRightInd w:val="0"/>
        <w:jc w:val="center"/>
        <w:rPr>
          <w:rFonts w:ascii="Arial" w:eastAsia="Calibri" w:hAnsi="Arial" w:cs="Arial"/>
          <w:sz w:val="20"/>
          <w:szCs w:val="20"/>
        </w:rPr>
      </w:pPr>
      <w:r w:rsidRPr="00297ADF">
        <w:rPr>
          <w:noProof/>
          <w:lang w:eastAsia="es-MX"/>
        </w:rPr>
        <w:drawing>
          <wp:inline distT="0" distB="0" distL="0" distR="0" wp14:anchorId="1A37999F" wp14:editId="620D303E">
            <wp:extent cx="3708400" cy="1388745"/>
            <wp:effectExtent l="0" t="0" r="635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8400" cy="1388745"/>
                    </a:xfrm>
                    <a:prstGeom prst="rect">
                      <a:avLst/>
                    </a:prstGeom>
                    <a:noFill/>
                    <a:ln>
                      <a:noFill/>
                    </a:ln>
                  </pic:spPr>
                </pic:pic>
              </a:graphicData>
            </a:graphic>
          </wp:inline>
        </w:drawing>
      </w:r>
    </w:p>
    <w:p w14:paraId="0C440326" w14:textId="77777777" w:rsidR="00297ADF" w:rsidRPr="00297ADF" w:rsidRDefault="00297ADF" w:rsidP="00297ADF">
      <w:pPr>
        <w:autoSpaceDE w:val="0"/>
        <w:autoSpaceDN w:val="0"/>
        <w:adjustRightInd w:val="0"/>
        <w:jc w:val="center"/>
        <w:rPr>
          <w:rFonts w:ascii="Arial" w:eastAsia="Calibri" w:hAnsi="Arial" w:cs="Arial"/>
          <w:sz w:val="20"/>
          <w:szCs w:val="20"/>
        </w:rPr>
      </w:pPr>
    </w:p>
    <w:p w14:paraId="28398B91" w14:textId="77777777" w:rsidR="00297ADF" w:rsidRPr="00297ADF" w:rsidRDefault="00297ADF" w:rsidP="00297ADF">
      <w:pPr>
        <w:autoSpaceDE w:val="0"/>
        <w:autoSpaceDN w:val="0"/>
        <w:adjustRightInd w:val="0"/>
        <w:jc w:val="center"/>
        <w:rPr>
          <w:rFonts w:ascii="Arial" w:eastAsia="Calibri" w:hAnsi="Arial" w:cs="Arial"/>
          <w:sz w:val="20"/>
          <w:szCs w:val="20"/>
        </w:rPr>
      </w:pPr>
    </w:p>
    <w:p w14:paraId="42AC0D72"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Pasivo</w:t>
      </w:r>
    </w:p>
    <w:p w14:paraId="5D8CAB19"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788CD25E"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Es el conjunto de cuentas que permite el registro de las obligaciones contraídas por el Gobierno Estatal, para el desarrollo de sus funciones y la prestación de los servicios públicos. Al 31 de marzo de 2024,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14:paraId="4D6F5CC1" w14:textId="77777777" w:rsidR="00297ADF" w:rsidRPr="00297ADF" w:rsidRDefault="00297ADF" w:rsidP="00297ADF">
      <w:pPr>
        <w:jc w:val="both"/>
        <w:rPr>
          <w:rFonts w:ascii="Arial" w:eastAsia="Calibri" w:hAnsi="Arial" w:cs="Arial"/>
          <w:b/>
          <w:bCs/>
          <w:sz w:val="20"/>
          <w:szCs w:val="20"/>
        </w:rPr>
      </w:pPr>
    </w:p>
    <w:p w14:paraId="30D0ED11" w14:textId="77777777" w:rsidR="00167C29" w:rsidRDefault="00167C29">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444634A6" w14:textId="586EE195"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Circulante</w:t>
      </w:r>
    </w:p>
    <w:p w14:paraId="545EAAA8"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4EC5CD84" w14:textId="75C66DCA" w:rsidR="00297ADF" w:rsidRPr="00297ADF" w:rsidRDefault="00167C29" w:rsidP="00297ADF">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rPr>
        <w:drawing>
          <wp:inline distT="0" distB="0" distL="0" distR="0" wp14:anchorId="3D79816F" wp14:editId="7DF687D8">
            <wp:extent cx="3420110" cy="3389630"/>
            <wp:effectExtent l="0" t="0" r="889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0110" cy="3389630"/>
                    </a:xfrm>
                    <a:prstGeom prst="rect">
                      <a:avLst/>
                    </a:prstGeom>
                    <a:noFill/>
                  </pic:spPr>
                </pic:pic>
              </a:graphicData>
            </a:graphic>
          </wp:inline>
        </w:drawing>
      </w:r>
    </w:p>
    <w:p w14:paraId="156A1CAB"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22DA8C30"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3540CC87"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Cuentas por pagar a corto plazo</w:t>
      </w:r>
    </w:p>
    <w:p w14:paraId="11F32EA3" w14:textId="77777777" w:rsidR="00297ADF" w:rsidRPr="00297ADF" w:rsidRDefault="00297ADF" w:rsidP="00297ADF">
      <w:pPr>
        <w:jc w:val="both"/>
        <w:outlineLvl w:val="0"/>
        <w:rPr>
          <w:rFonts w:ascii="Arial" w:eastAsia="Calibri" w:hAnsi="Arial" w:cs="Arial"/>
          <w:bCs/>
          <w:iCs/>
          <w:sz w:val="20"/>
          <w:szCs w:val="20"/>
        </w:rPr>
      </w:pPr>
    </w:p>
    <w:p w14:paraId="3950E3A7"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Este rubro del pasivo, refleja el registro de prestaciones salariales del personal de burocracia y magisterio del Gobierno del Estado como son: sueldos, liquidaciones, honorarios, prima quinquenal, vacacional y dominical, bono de productividad, despensa, incentivos y estímulos, previsión social múltiple y aguinaldo devengado no pagado a la fecha que se informa, las aportaciones patronales al IMSS, ISSTECH, INFONAVIT, FPSSTSP y 2 % del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6F3A5F99" w14:textId="77777777" w:rsidR="00297ADF" w:rsidRPr="00297ADF" w:rsidRDefault="00297ADF" w:rsidP="00297ADF">
      <w:pPr>
        <w:jc w:val="both"/>
        <w:rPr>
          <w:rFonts w:ascii="Arial" w:eastAsia="Calibri" w:hAnsi="Arial" w:cs="Arial"/>
          <w:sz w:val="20"/>
          <w:szCs w:val="20"/>
        </w:rPr>
      </w:pPr>
    </w:p>
    <w:p w14:paraId="2D7259EF"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También, forma parte las ministraciones por depositar a los municipios por concepto de participaciones, y otros subsidios para entes públicos, así como, las transferencias por depositar de ayudas sociales para: personas, instituciones de enseñanza y becas para programas de capacitación.</w:t>
      </w:r>
    </w:p>
    <w:p w14:paraId="16F0E84A" w14:textId="77777777" w:rsidR="00297ADF" w:rsidRPr="00297ADF" w:rsidRDefault="00297ADF" w:rsidP="00297ADF">
      <w:pPr>
        <w:jc w:val="both"/>
        <w:outlineLvl w:val="0"/>
        <w:rPr>
          <w:rFonts w:ascii="Arial" w:eastAsia="Calibri" w:hAnsi="Arial" w:cs="Arial"/>
          <w:sz w:val="20"/>
          <w:szCs w:val="20"/>
        </w:rPr>
      </w:pPr>
    </w:p>
    <w:p w14:paraId="330C16C8"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Se incluyen en este rubro, el registro de las retenciones por servicios personales: ISSS, 2 % del Impuesto Sobre Nóminas, cuota FPSSTSP, cuota IMSS, crédito INFONAVIT, crédito FONACOT, cuota ISSSTE, cuota ISSTECH, cuota FOVISSSTE, cuota SAR, recuperación de préstamos personales, préstamos con instituciones financieras, aportaciones al seguro institucional, aportaciones al fondo de ahorro, cuota sindical, estímulos, disciplinarios, pensión alimenticia; además, de las retenciones y contribuciones a favor de terceros, 2 % del Impuesto Sobre Nóminas de prestadores de servicios, Impuesto Sobre la Renta e Impuesto al Valor Agregado por pagar, así como, el ISR por honorarios y/o arrendamiento de inmuebles.</w:t>
      </w:r>
    </w:p>
    <w:p w14:paraId="71D2BD76" w14:textId="77777777" w:rsidR="00297ADF" w:rsidRPr="00297ADF" w:rsidRDefault="00297ADF" w:rsidP="00297ADF">
      <w:pPr>
        <w:autoSpaceDE w:val="0"/>
        <w:autoSpaceDN w:val="0"/>
        <w:adjustRightInd w:val="0"/>
        <w:jc w:val="both"/>
        <w:rPr>
          <w:rFonts w:ascii="Arial" w:eastAsia="Calibri" w:hAnsi="Arial" w:cs="Arial"/>
          <w:sz w:val="20"/>
          <w:szCs w:val="20"/>
        </w:rPr>
      </w:pPr>
    </w:p>
    <w:p w14:paraId="3CBB4AA8" w14:textId="77777777" w:rsidR="00297ADF" w:rsidRPr="00297ADF" w:rsidRDefault="00297ADF" w:rsidP="00297ADF">
      <w:pPr>
        <w:jc w:val="both"/>
        <w:outlineLvl w:val="0"/>
        <w:rPr>
          <w:rFonts w:ascii="Arial" w:hAnsi="Arial" w:cs="Arial"/>
          <w:sz w:val="20"/>
          <w:szCs w:val="20"/>
        </w:rPr>
      </w:pPr>
      <w:r w:rsidRPr="00297ADF">
        <w:rPr>
          <w:rFonts w:ascii="Arial" w:hAnsi="Arial" w:cs="Arial"/>
          <w:sz w:val="20"/>
          <w:szCs w:val="20"/>
        </w:rPr>
        <w:t>Asimismo, incluye las retenciones efectuadas a los contratistas por obra pública, por los siguientes conceptos:</w:t>
      </w:r>
    </w:p>
    <w:p w14:paraId="782BF35B" w14:textId="77777777" w:rsidR="00297ADF" w:rsidRPr="00297ADF" w:rsidRDefault="00297ADF" w:rsidP="00297ADF">
      <w:pPr>
        <w:jc w:val="both"/>
        <w:outlineLvl w:val="0"/>
        <w:rPr>
          <w:rFonts w:ascii="Arial" w:hAnsi="Arial" w:cs="Arial"/>
          <w:sz w:val="20"/>
          <w:szCs w:val="20"/>
        </w:rPr>
      </w:pPr>
    </w:p>
    <w:p w14:paraId="4923F294" w14:textId="77777777" w:rsidR="00297ADF" w:rsidRPr="00297ADF" w:rsidRDefault="00297ADF" w:rsidP="00297ADF">
      <w:pPr>
        <w:numPr>
          <w:ilvl w:val="0"/>
          <w:numId w:val="24"/>
        </w:numPr>
        <w:spacing w:after="120"/>
        <w:ind w:left="357" w:hanging="357"/>
        <w:jc w:val="both"/>
        <w:rPr>
          <w:rFonts w:ascii="Arial" w:hAnsi="Arial" w:cs="Arial"/>
          <w:sz w:val="20"/>
          <w:szCs w:val="20"/>
        </w:rPr>
      </w:pPr>
      <w:r w:rsidRPr="00297ADF">
        <w:rPr>
          <w:rFonts w:ascii="Arial" w:hAnsi="Arial" w:cs="Arial"/>
          <w:sz w:val="20"/>
          <w:szCs w:val="20"/>
        </w:rPr>
        <w:t>1 % de Aportación al Estado para Obras de Beneficio Social,</w:t>
      </w:r>
    </w:p>
    <w:p w14:paraId="031DEFCF" w14:textId="77777777" w:rsidR="00297ADF" w:rsidRPr="00297ADF" w:rsidRDefault="00297ADF" w:rsidP="00297ADF">
      <w:pPr>
        <w:numPr>
          <w:ilvl w:val="0"/>
          <w:numId w:val="24"/>
        </w:numPr>
        <w:spacing w:after="120"/>
        <w:ind w:left="357" w:hanging="357"/>
        <w:jc w:val="both"/>
        <w:rPr>
          <w:rFonts w:ascii="Arial" w:hAnsi="Arial" w:cs="Arial"/>
          <w:sz w:val="20"/>
          <w:szCs w:val="20"/>
        </w:rPr>
      </w:pPr>
      <w:r w:rsidRPr="00297ADF">
        <w:rPr>
          <w:rFonts w:ascii="Arial" w:hAnsi="Arial" w:cs="Arial"/>
          <w:sz w:val="20"/>
          <w:szCs w:val="20"/>
        </w:rPr>
        <w:t>3 al millar para el Instituto de Capacitación de la Industria de la Construcción,</w:t>
      </w:r>
    </w:p>
    <w:p w14:paraId="2E859C16" w14:textId="77777777" w:rsidR="00297ADF" w:rsidRPr="00297ADF" w:rsidRDefault="00297ADF" w:rsidP="00297ADF">
      <w:pPr>
        <w:numPr>
          <w:ilvl w:val="0"/>
          <w:numId w:val="24"/>
        </w:numPr>
        <w:spacing w:after="120"/>
        <w:ind w:left="357" w:hanging="357"/>
        <w:jc w:val="both"/>
        <w:rPr>
          <w:rFonts w:ascii="Arial" w:hAnsi="Arial" w:cs="Arial"/>
          <w:sz w:val="20"/>
          <w:szCs w:val="20"/>
        </w:rPr>
      </w:pPr>
      <w:r w:rsidRPr="00297ADF">
        <w:rPr>
          <w:rFonts w:ascii="Arial" w:hAnsi="Arial" w:cs="Arial"/>
          <w:sz w:val="20"/>
          <w:szCs w:val="20"/>
        </w:rPr>
        <w:t>5 al millar de Inspección y Vigilancia, y</w:t>
      </w:r>
    </w:p>
    <w:p w14:paraId="56C1C133" w14:textId="77777777" w:rsidR="00297ADF" w:rsidRPr="00297ADF" w:rsidRDefault="00297ADF" w:rsidP="00297ADF">
      <w:pPr>
        <w:numPr>
          <w:ilvl w:val="0"/>
          <w:numId w:val="24"/>
        </w:numPr>
        <w:spacing w:after="120"/>
        <w:ind w:left="357" w:hanging="357"/>
        <w:jc w:val="both"/>
        <w:rPr>
          <w:rFonts w:ascii="Arial" w:hAnsi="Arial" w:cs="Arial"/>
          <w:sz w:val="20"/>
          <w:szCs w:val="20"/>
        </w:rPr>
      </w:pPr>
      <w:r w:rsidRPr="00297ADF">
        <w:rPr>
          <w:rFonts w:ascii="Arial" w:hAnsi="Arial" w:cs="Arial"/>
          <w:sz w:val="20"/>
          <w:szCs w:val="20"/>
        </w:rPr>
        <w:t>2 y 4 al millar a la Cámara Mexicana de la Industria de la Construcción.</w:t>
      </w:r>
    </w:p>
    <w:p w14:paraId="253A32AF"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lastRenderedPageBreak/>
        <w:t>Por otra parte, dentro este rubro se encuentra los anticipos a cuenta de participaciones federales pendientes de compensar,  así como, los recursos comprometidos por adeudos de gastos de administración, servicios básicos y de operación, reintegros de recursos, depósitos en demasía de centros recaudatorios y de contribuyentes, viáticos, aportaciones al seguro de vida, devolución de recursos de programas sociales, recursos al ISSTECH pendientes de depositar y rendimientos bancarios.</w:t>
      </w:r>
    </w:p>
    <w:p w14:paraId="44B72C2E" w14:textId="77777777" w:rsidR="00297ADF" w:rsidRPr="00297ADF" w:rsidRDefault="00297ADF" w:rsidP="00297ADF">
      <w:pPr>
        <w:autoSpaceDE w:val="0"/>
        <w:autoSpaceDN w:val="0"/>
        <w:adjustRightInd w:val="0"/>
        <w:jc w:val="both"/>
        <w:rPr>
          <w:rFonts w:ascii="Arial" w:eastAsia="Calibri" w:hAnsi="Arial" w:cs="Arial"/>
          <w:sz w:val="20"/>
          <w:szCs w:val="20"/>
        </w:rPr>
      </w:pPr>
    </w:p>
    <w:p w14:paraId="4226BAED"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El saldo de este rubro al 31 de marzo de 2024, ascendió a $ 1,647,925,743 pesos, y representa el 79.4 % del total del pasivo circulante.</w:t>
      </w:r>
    </w:p>
    <w:p w14:paraId="62DDE43F" w14:textId="77777777" w:rsidR="00297ADF" w:rsidRPr="00297ADF" w:rsidRDefault="00297ADF" w:rsidP="00297ADF">
      <w:pPr>
        <w:autoSpaceDE w:val="0"/>
        <w:autoSpaceDN w:val="0"/>
        <w:adjustRightInd w:val="0"/>
        <w:jc w:val="both"/>
        <w:rPr>
          <w:rFonts w:ascii="Arial" w:eastAsia="Calibri" w:hAnsi="Arial" w:cs="Arial"/>
          <w:sz w:val="20"/>
          <w:szCs w:val="20"/>
        </w:rPr>
      </w:pPr>
    </w:p>
    <w:p w14:paraId="758A3008" w14:textId="77777777" w:rsidR="00297ADF" w:rsidRPr="00297ADF" w:rsidRDefault="00297ADF" w:rsidP="00297ADF">
      <w:pPr>
        <w:jc w:val="center"/>
        <w:rPr>
          <w:rFonts w:ascii="Arial" w:eastAsia="Calibri" w:hAnsi="Arial" w:cs="Arial"/>
          <w:sz w:val="20"/>
          <w:szCs w:val="20"/>
        </w:rPr>
      </w:pPr>
      <w:r w:rsidRPr="00297ADF">
        <w:rPr>
          <w:noProof/>
          <w:lang w:eastAsia="es-MX"/>
        </w:rPr>
        <w:drawing>
          <wp:inline distT="0" distB="0" distL="0" distR="0" wp14:anchorId="115D16EF" wp14:editId="3B458705">
            <wp:extent cx="3725545" cy="1388745"/>
            <wp:effectExtent l="0" t="0" r="8255"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5161995E" w14:textId="2FBF8255" w:rsidR="00297ADF" w:rsidRDefault="00297ADF" w:rsidP="00297ADF">
      <w:pPr>
        <w:jc w:val="both"/>
        <w:outlineLvl w:val="0"/>
        <w:rPr>
          <w:rFonts w:ascii="Arial" w:eastAsia="Calibri" w:hAnsi="Arial" w:cs="Arial"/>
          <w:b/>
          <w:bCs/>
          <w:i/>
          <w:sz w:val="20"/>
          <w:szCs w:val="20"/>
        </w:rPr>
      </w:pPr>
    </w:p>
    <w:p w14:paraId="60F7B30B" w14:textId="77777777" w:rsidR="00167C29" w:rsidRPr="00297ADF" w:rsidRDefault="00167C29" w:rsidP="00297ADF">
      <w:pPr>
        <w:jc w:val="both"/>
        <w:outlineLvl w:val="0"/>
        <w:rPr>
          <w:rFonts w:ascii="Arial" w:eastAsia="Calibri" w:hAnsi="Arial" w:cs="Arial"/>
          <w:b/>
          <w:bCs/>
          <w:i/>
          <w:sz w:val="20"/>
          <w:szCs w:val="20"/>
        </w:rPr>
      </w:pPr>
    </w:p>
    <w:p w14:paraId="28458BBC"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Porción a corto plazo de la deuda pública a largo plazo</w:t>
      </w:r>
    </w:p>
    <w:p w14:paraId="0F0E63F2" w14:textId="77777777" w:rsidR="00297ADF" w:rsidRPr="00297ADF" w:rsidRDefault="00297ADF" w:rsidP="00297ADF">
      <w:pPr>
        <w:jc w:val="both"/>
        <w:outlineLvl w:val="0"/>
        <w:rPr>
          <w:bCs/>
          <w:iCs/>
        </w:rPr>
      </w:pPr>
    </w:p>
    <w:p w14:paraId="361CFAAE"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El saldo de $ 340,280,219 pesos de este rubro, refleja el monto programado a cubrir de la deuda al 31 de marzo de 2024, integrado por los créditos contratados con las instituciones bancarias: Banorte, S.A., BBVA Bancomer, S.A., Santander, S.A., y BANOBRAS, S.N.C.</w:t>
      </w:r>
    </w:p>
    <w:p w14:paraId="10C9AECB" w14:textId="77777777" w:rsidR="00297ADF" w:rsidRPr="00297ADF" w:rsidRDefault="00297ADF" w:rsidP="00297ADF">
      <w:pPr>
        <w:jc w:val="both"/>
        <w:rPr>
          <w:rFonts w:ascii="Arial" w:eastAsia="Arial" w:hAnsi="Arial" w:cs="Arial"/>
          <w:sz w:val="20"/>
          <w:szCs w:val="20"/>
        </w:rPr>
      </w:pPr>
    </w:p>
    <w:p w14:paraId="24436376"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Este saldo representa el 16.4 % del total del pasivo circulante.</w:t>
      </w:r>
    </w:p>
    <w:p w14:paraId="484B64CF" w14:textId="77777777" w:rsidR="00297ADF" w:rsidRPr="00297ADF" w:rsidRDefault="00297ADF" w:rsidP="00297ADF">
      <w:pPr>
        <w:jc w:val="both"/>
        <w:outlineLvl w:val="0"/>
        <w:rPr>
          <w:rFonts w:ascii="Arial" w:eastAsia="Calibri" w:hAnsi="Arial" w:cs="Arial"/>
          <w:b/>
          <w:bCs/>
          <w:i/>
          <w:sz w:val="20"/>
          <w:szCs w:val="20"/>
        </w:rPr>
      </w:pPr>
    </w:p>
    <w:p w14:paraId="0F6722DB" w14:textId="77777777" w:rsidR="00297ADF" w:rsidRPr="00297ADF" w:rsidRDefault="00297ADF" w:rsidP="00297ADF">
      <w:pPr>
        <w:jc w:val="center"/>
        <w:outlineLvl w:val="0"/>
        <w:rPr>
          <w:rFonts w:ascii="Arial" w:eastAsia="Calibri" w:hAnsi="Arial" w:cs="Arial"/>
          <w:b/>
          <w:bCs/>
          <w:i/>
          <w:sz w:val="20"/>
          <w:szCs w:val="20"/>
        </w:rPr>
      </w:pPr>
      <w:r w:rsidRPr="00297ADF">
        <w:rPr>
          <w:noProof/>
          <w:lang w:eastAsia="es-MX"/>
        </w:rPr>
        <w:drawing>
          <wp:inline distT="0" distB="0" distL="0" distR="0" wp14:anchorId="7559AD7E" wp14:editId="0C61C372">
            <wp:extent cx="3725545" cy="1549400"/>
            <wp:effectExtent l="0" t="0" r="825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5545" cy="1549400"/>
                    </a:xfrm>
                    <a:prstGeom prst="rect">
                      <a:avLst/>
                    </a:prstGeom>
                    <a:noFill/>
                    <a:ln>
                      <a:noFill/>
                    </a:ln>
                  </pic:spPr>
                </pic:pic>
              </a:graphicData>
            </a:graphic>
          </wp:inline>
        </w:drawing>
      </w:r>
    </w:p>
    <w:p w14:paraId="02B0F43E" w14:textId="199CA7BB" w:rsidR="00297ADF" w:rsidRDefault="00297ADF" w:rsidP="00297ADF">
      <w:pPr>
        <w:jc w:val="both"/>
        <w:outlineLvl w:val="0"/>
        <w:rPr>
          <w:rFonts w:ascii="Arial" w:eastAsia="Calibri" w:hAnsi="Arial" w:cs="Arial"/>
          <w:b/>
          <w:bCs/>
          <w:i/>
          <w:sz w:val="20"/>
          <w:szCs w:val="20"/>
        </w:rPr>
      </w:pPr>
    </w:p>
    <w:p w14:paraId="29DB78A4" w14:textId="77777777" w:rsidR="00167C29" w:rsidRPr="00297ADF" w:rsidRDefault="00167C29" w:rsidP="00297ADF">
      <w:pPr>
        <w:jc w:val="both"/>
        <w:outlineLvl w:val="0"/>
        <w:rPr>
          <w:rFonts w:ascii="Arial" w:eastAsia="Calibri" w:hAnsi="Arial" w:cs="Arial"/>
          <w:b/>
          <w:bCs/>
          <w:i/>
          <w:sz w:val="20"/>
          <w:szCs w:val="20"/>
        </w:rPr>
      </w:pPr>
    </w:p>
    <w:p w14:paraId="5996A957"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Fondos y bienes de terceros en garantía y/o administración a corto plazo</w:t>
      </w:r>
    </w:p>
    <w:p w14:paraId="03EB5F01" w14:textId="77777777" w:rsidR="00297ADF" w:rsidRPr="00297ADF" w:rsidRDefault="00297ADF" w:rsidP="00297ADF">
      <w:pPr>
        <w:jc w:val="both"/>
        <w:outlineLvl w:val="0"/>
        <w:rPr>
          <w:rFonts w:ascii="Arial" w:eastAsia="Calibri" w:hAnsi="Arial" w:cs="Arial"/>
          <w:sz w:val="20"/>
          <w:szCs w:val="20"/>
        </w:rPr>
      </w:pPr>
    </w:p>
    <w:p w14:paraId="77A85F29"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 xml:space="preserve">El saldo en este rubro asciende a $ 29,216,338 pesos y corresponde a los fondos registrados en el pasivo circulante, son los siguientes: </w:t>
      </w:r>
      <w:r w:rsidRPr="00297ADF">
        <w:rPr>
          <w:rFonts w:ascii="Arial" w:eastAsia="Arial" w:hAnsi="Arial" w:cs="Times New Roman"/>
          <w:sz w:val="20"/>
        </w:rPr>
        <w:t>Fondo de Caja de Ahorro y</w:t>
      </w:r>
      <w:r w:rsidRPr="00297ADF">
        <w:rPr>
          <w:rFonts w:ascii="Arial" w:eastAsia="Calibri" w:hAnsi="Arial" w:cs="Times New Roman"/>
          <w:sz w:val="20"/>
        </w:rPr>
        <w:t xml:space="preserve"> Fondo de Previsión del Seguro de Vida</w:t>
      </w:r>
      <w:r w:rsidRPr="00297ADF">
        <w:rPr>
          <w:rFonts w:ascii="Arial" w:eastAsia="Arial" w:hAnsi="Arial" w:cs="Arial"/>
          <w:sz w:val="20"/>
          <w:szCs w:val="20"/>
        </w:rPr>
        <w:t xml:space="preserve"> del personal de burocracia, así como, las obligaciones con recursos ajenos.</w:t>
      </w:r>
    </w:p>
    <w:p w14:paraId="115791C5" w14:textId="77777777" w:rsidR="00297ADF" w:rsidRPr="00297ADF" w:rsidRDefault="00297ADF" w:rsidP="00297ADF">
      <w:pPr>
        <w:jc w:val="both"/>
        <w:rPr>
          <w:rFonts w:ascii="Arial" w:eastAsia="Arial" w:hAnsi="Arial" w:cs="Arial"/>
          <w:sz w:val="20"/>
          <w:szCs w:val="20"/>
        </w:rPr>
      </w:pPr>
    </w:p>
    <w:p w14:paraId="677FFF5E"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También, se incluyen los recursos derivados de la recaudación de impuestos municipales administrados por el Gobierno del Estado, por concepto de impuestos a la propiedad inmobiliaria (predial, traslado de dominio y accesorios).</w:t>
      </w:r>
    </w:p>
    <w:p w14:paraId="347499F5" w14:textId="77777777" w:rsidR="00297ADF" w:rsidRPr="00297ADF" w:rsidRDefault="00297ADF" w:rsidP="00297ADF">
      <w:pPr>
        <w:jc w:val="both"/>
        <w:rPr>
          <w:rFonts w:ascii="Arial" w:eastAsia="Arial" w:hAnsi="Arial" w:cs="Arial"/>
          <w:sz w:val="20"/>
          <w:szCs w:val="20"/>
        </w:rPr>
      </w:pPr>
    </w:p>
    <w:p w14:paraId="7843198D" w14:textId="77777777" w:rsidR="00297ADF" w:rsidRPr="00297ADF" w:rsidRDefault="00297ADF" w:rsidP="00297ADF">
      <w:pPr>
        <w:jc w:val="both"/>
        <w:rPr>
          <w:rFonts w:ascii="Arial" w:eastAsia="Arial" w:hAnsi="Arial" w:cs="Arial"/>
          <w:sz w:val="20"/>
          <w:szCs w:val="20"/>
        </w:rPr>
      </w:pPr>
      <w:r w:rsidRPr="00297ADF">
        <w:rPr>
          <w:rFonts w:ascii="Arial" w:eastAsia="Arial" w:hAnsi="Arial" w:cs="Arial"/>
          <w:sz w:val="20"/>
          <w:szCs w:val="20"/>
        </w:rPr>
        <w:t>Además, se registran los depósitos en garantía derivado de juicios contenciosos.</w:t>
      </w:r>
    </w:p>
    <w:p w14:paraId="4138365A" w14:textId="77777777" w:rsidR="00297ADF" w:rsidRPr="00297ADF" w:rsidRDefault="00297ADF" w:rsidP="00297ADF">
      <w:pPr>
        <w:jc w:val="both"/>
        <w:rPr>
          <w:rFonts w:ascii="Arial" w:eastAsia="Arial" w:hAnsi="Arial" w:cs="Arial"/>
          <w:sz w:val="20"/>
          <w:szCs w:val="20"/>
        </w:rPr>
      </w:pPr>
    </w:p>
    <w:p w14:paraId="2489E58D"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31 de marzo de 2024, este rubro representa el 1.4 % respecto al total del pasivo circulante.</w:t>
      </w:r>
    </w:p>
    <w:p w14:paraId="5938174E" w14:textId="77777777" w:rsidR="00297ADF" w:rsidRPr="00297ADF" w:rsidRDefault="00297ADF" w:rsidP="00297ADF">
      <w:pPr>
        <w:jc w:val="both"/>
        <w:outlineLvl w:val="0"/>
        <w:rPr>
          <w:rFonts w:ascii="Arial" w:eastAsia="Calibri" w:hAnsi="Arial" w:cs="Arial"/>
          <w:sz w:val="20"/>
          <w:szCs w:val="20"/>
        </w:rPr>
      </w:pPr>
    </w:p>
    <w:p w14:paraId="57E2F74E"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lastRenderedPageBreak/>
        <w:drawing>
          <wp:inline distT="0" distB="0" distL="0" distR="0" wp14:anchorId="1D93ABE1" wp14:editId="4535AACF">
            <wp:extent cx="3725545" cy="1625600"/>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25545" cy="1625600"/>
                    </a:xfrm>
                    <a:prstGeom prst="rect">
                      <a:avLst/>
                    </a:prstGeom>
                    <a:noFill/>
                    <a:ln>
                      <a:noFill/>
                    </a:ln>
                  </pic:spPr>
                </pic:pic>
              </a:graphicData>
            </a:graphic>
          </wp:inline>
        </w:drawing>
      </w:r>
    </w:p>
    <w:p w14:paraId="393661B9" w14:textId="63AFFEE6" w:rsidR="00297ADF" w:rsidRDefault="00297ADF" w:rsidP="00297ADF">
      <w:pPr>
        <w:jc w:val="both"/>
        <w:outlineLvl w:val="0"/>
        <w:rPr>
          <w:rFonts w:ascii="Arial" w:eastAsia="Calibri" w:hAnsi="Arial" w:cs="Arial"/>
          <w:sz w:val="20"/>
          <w:szCs w:val="20"/>
        </w:rPr>
      </w:pPr>
    </w:p>
    <w:p w14:paraId="71D296CB" w14:textId="77777777" w:rsidR="00167C29" w:rsidRPr="00297ADF" w:rsidRDefault="00167C29" w:rsidP="00297ADF">
      <w:pPr>
        <w:jc w:val="both"/>
        <w:outlineLvl w:val="0"/>
        <w:rPr>
          <w:rFonts w:ascii="Arial" w:eastAsia="Calibri" w:hAnsi="Arial" w:cs="Arial"/>
          <w:sz w:val="20"/>
          <w:szCs w:val="20"/>
        </w:rPr>
      </w:pPr>
    </w:p>
    <w:p w14:paraId="764FCFBE"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Provisiones a corto plazo</w:t>
      </w:r>
    </w:p>
    <w:p w14:paraId="6EE1AE8C" w14:textId="77777777" w:rsidR="00297ADF" w:rsidRPr="00297ADF" w:rsidRDefault="00297ADF" w:rsidP="00297ADF">
      <w:pPr>
        <w:jc w:val="both"/>
        <w:outlineLvl w:val="0"/>
        <w:rPr>
          <w:rFonts w:ascii="Arial" w:eastAsia="Calibri" w:hAnsi="Arial" w:cs="Arial"/>
          <w:b/>
          <w:bCs/>
          <w:i/>
          <w:iCs/>
          <w:sz w:val="20"/>
          <w:szCs w:val="20"/>
        </w:rPr>
      </w:pPr>
    </w:p>
    <w:p w14:paraId="62F21AE2"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31 de marzo de 2024, este rubro del pasivo circulante, asciende a $ 8,586,799 pesos, el cual se integra, por la provisión para demandas y juicios, y por la provisión para contingencias a corto plazo, para hacer frente a casos fortuitos, que resulten de la operatividad de los entes públicos que conforman el Gobierno del Estado.</w:t>
      </w:r>
    </w:p>
    <w:p w14:paraId="7CFE2AD6" w14:textId="77777777" w:rsidR="00297ADF" w:rsidRPr="00297ADF" w:rsidRDefault="00297ADF" w:rsidP="00297ADF">
      <w:pPr>
        <w:jc w:val="both"/>
        <w:outlineLvl w:val="0"/>
        <w:rPr>
          <w:rFonts w:ascii="Arial" w:eastAsia="Calibri" w:hAnsi="Arial" w:cs="Arial"/>
          <w:sz w:val="20"/>
          <w:szCs w:val="20"/>
        </w:rPr>
      </w:pPr>
    </w:p>
    <w:p w14:paraId="3DBE52AC"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Del total del pasivo circulante, este rubro representa el 0.4 %.</w:t>
      </w:r>
    </w:p>
    <w:p w14:paraId="49765EEF" w14:textId="77777777" w:rsidR="00297ADF" w:rsidRPr="00297ADF" w:rsidRDefault="00297ADF" w:rsidP="00297ADF">
      <w:pPr>
        <w:autoSpaceDE w:val="0"/>
        <w:autoSpaceDN w:val="0"/>
        <w:adjustRightInd w:val="0"/>
        <w:jc w:val="both"/>
        <w:rPr>
          <w:rFonts w:ascii="Arial" w:eastAsia="Calibri" w:hAnsi="Arial" w:cs="Arial"/>
          <w:sz w:val="20"/>
          <w:szCs w:val="20"/>
        </w:rPr>
      </w:pPr>
    </w:p>
    <w:p w14:paraId="5D24D77B"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drawing>
          <wp:inline distT="0" distB="0" distL="0" distR="0" wp14:anchorId="36E69965" wp14:editId="47979B7F">
            <wp:extent cx="3725545" cy="1388745"/>
            <wp:effectExtent l="0" t="0" r="8255"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696B6FA9" w14:textId="77777777" w:rsidR="00297ADF" w:rsidRPr="00297ADF" w:rsidRDefault="00297ADF" w:rsidP="00297ADF">
      <w:pPr>
        <w:jc w:val="both"/>
        <w:outlineLvl w:val="0"/>
        <w:rPr>
          <w:rFonts w:ascii="Arial" w:eastAsia="Calibri" w:hAnsi="Arial" w:cs="Arial"/>
          <w:b/>
          <w:bCs/>
          <w:i/>
          <w:iCs/>
          <w:sz w:val="20"/>
          <w:szCs w:val="20"/>
        </w:rPr>
      </w:pPr>
    </w:p>
    <w:p w14:paraId="59A78866" w14:textId="77777777" w:rsidR="00297ADF" w:rsidRPr="00297ADF" w:rsidRDefault="00297ADF" w:rsidP="00297ADF">
      <w:pPr>
        <w:jc w:val="both"/>
        <w:outlineLvl w:val="0"/>
        <w:rPr>
          <w:rFonts w:ascii="Arial" w:eastAsia="Calibri" w:hAnsi="Arial" w:cs="Arial"/>
          <w:b/>
          <w:bCs/>
          <w:i/>
          <w:iCs/>
          <w:sz w:val="20"/>
          <w:szCs w:val="20"/>
        </w:rPr>
      </w:pPr>
    </w:p>
    <w:p w14:paraId="0B28A160"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Otros pasivos a corto plazo</w:t>
      </w:r>
    </w:p>
    <w:p w14:paraId="30C39E11" w14:textId="77777777" w:rsidR="00297ADF" w:rsidRPr="00297ADF" w:rsidRDefault="00297ADF" w:rsidP="00297ADF">
      <w:pPr>
        <w:jc w:val="both"/>
        <w:outlineLvl w:val="0"/>
        <w:rPr>
          <w:rFonts w:ascii="Arial" w:eastAsia="Calibri" w:hAnsi="Arial" w:cs="Arial"/>
          <w:sz w:val="20"/>
          <w:szCs w:val="20"/>
        </w:rPr>
      </w:pPr>
    </w:p>
    <w:p w14:paraId="5B93C2DF" w14:textId="77777777" w:rsidR="00297ADF" w:rsidRPr="00297ADF" w:rsidRDefault="00297ADF" w:rsidP="00297ADF">
      <w:pPr>
        <w:jc w:val="both"/>
        <w:outlineLvl w:val="0"/>
        <w:rPr>
          <w:rFonts w:ascii="Arial" w:eastAsia="Arial" w:hAnsi="Arial" w:cs="Arial"/>
          <w:sz w:val="20"/>
          <w:szCs w:val="20"/>
        </w:rPr>
      </w:pPr>
      <w:r w:rsidRPr="00297ADF">
        <w:rPr>
          <w:rFonts w:ascii="Arial" w:eastAsia="Arial" w:hAnsi="Arial" w:cs="Arial"/>
          <w:sz w:val="20"/>
          <w:szCs w:val="20"/>
        </w:rPr>
        <w:t>El saldo en este rubro asciende a $ 49,028,149 pesos y se integra principalmente de los ingresos por clasificar, así como, por los abonos bancarios pendientes de aplicar.</w:t>
      </w:r>
    </w:p>
    <w:p w14:paraId="4EA7D6E7" w14:textId="77777777" w:rsidR="00297ADF" w:rsidRPr="00297ADF" w:rsidRDefault="00297ADF" w:rsidP="00297ADF">
      <w:pPr>
        <w:jc w:val="both"/>
        <w:outlineLvl w:val="0"/>
        <w:rPr>
          <w:rFonts w:ascii="Arial" w:eastAsia="Calibri" w:hAnsi="Arial" w:cs="Arial"/>
          <w:sz w:val="20"/>
          <w:szCs w:val="20"/>
        </w:rPr>
      </w:pPr>
    </w:p>
    <w:p w14:paraId="17EC395B"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31 de marzo de 2024</w:t>
      </w:r>
      <w:r w:rsidRPr="00297ADF">
        <w:rPr>
          <w:rFonts w:ascii="Arial" w:eastAsia="Arial" w:hAnsi="Arial" w:cs="Arial"/>
          <w:sz w:val="20"/>
          <w:szCs w:val="20"/>
        </w:rPr>
        <w:t>, este rubro r</w:t>
      </w:r>
      <w:r w:rsidRPr="00297ADF">
        <w:rPr>
          <w:rFonts w:ascii="Arial" w:eastAsia="Calibri" w:hAnsi="Arial" w:cs="Arial"/>
          <w:sz w:val="20"/>
          <w:szCs w:val="20"/>
        </w:rPr>
        <w:t>epresenta el 2.4 % del total del pasivo circulante.</w:t>
      </w:r>
    </w:p>
    <w:p w14:paraId="5C611EF0"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14ECD6F3" w14:textId="77777777" w:rsidR="00297ADF" w:rsidRPr="00297ADF" w:rsidRDefault="00297ADF" w:rsidP="00297ADF">
      <w:pPr>
        <w:autoSpaceDE w:val="0"/>
        <w:autoSpaceDN w:val="0"/>
        <w:adjustRightInd w:val="0"/>
        <w:jc w:val="center"/>
        <w:rPr>
          <w:rFonts w:ascii="Arial" w:eastAsia="Calibri" w:hAnsi="Arial" w:cs="Arial"/>
          <w:b/>
          <w:bCs/>
          <w:sz w:val="20"/>
          <w:szCs w:val="20"/>
        </w:rPr>
      </w:pPr>
      <w:r w:rsidRPr="00297ADF">
        <w:rPr>
          <w:noProof/>
          <w:lang w:eastAsia="es-MX"/>
        </w:rPr>
        <w:drawing>
          <wp:inline distT="0" distB="0" distL="0" distR="0" wp14:anchorId="1E352EE1" wp14:editId="79543C1C">
            <wp:extent cx="3725545" cy="1422400"/>
            <wp:effectExtent l="0" t="0" r="8255"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25545" cy="1422400"/>
                    </a:xfrm>
                    <a:prstGeom prst="rect">
                      <a:avLst/>
                    </a:prstGeom>
                    <a:noFill/>
                    <a:ln>
                      <a:noFill/>
                    </a:ln>
                  </pic:spPr>
                </pic:pic>
              </a:graphicData>
            </a:graphic>
          </wp:inline>
        </w:drawing>
      </w:r>
    </w:p>
    <w:p w14:paraId="5CFEE21F"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291AAD33" w14:textId="77777777" w:rsidR="00167C29" w:rsidRDefault="00167C29">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3935A1CB" w14:textId="36EFD066"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No circulante</w:t>
      </w:r>
    </w:p>
    <w:p w14:paraId="598CBD1D" w14:textId="77777777" w:rsidR="00297ADF" w:rsidRPr="00297ADF" w:rsidRDefault="00297ADF" w:rsidP="00297ADF">
      <w:pPr>
        <w:autoSpaceDE w:val="0"/>
        <w:autoSpaceDN w:val="0"/>
        <w:adjustRightInd w:val="0"/>
        <w:jc w:val="both"/>
        <w:rPr>
          <w:rFonts w:ascii="Arial" w:eastAsia="Calibri" w:hAnsi="Arial" w:cs="Arial"/>
          <w:b/>
          <w:bCs/>
          <w:sz w:val="20"/>
          <w:szCs w:val="20"/>
        </w:rPr>
      </w:pPr>
    </w:p>
    <w:p w14:paraId="073FEF9C" w14:textId="77777777" w:rsidR="00297ADF" w:rsidRPr="00297ADF" w:rsidRDefault="00297ADF" w:rsidP="00297ADF">
      <w:pPr>
        <w:autoSpaceDE w:val="0"/>
        <w:autoSpaceDN w:val="0"/>
        <w:adjustRightInd w:val="0"/>
        <w:jc w:val="center"/>
        <w:rPr>
          <w:rFonts w:ascii="Arial" w:eastAsia="Calibri" w:hAnsi="Arial" w:cs="Arial"/>
          <w:b/>
          <w:bCs/>
          <w:sz w:val="20"/>
          <w:szCs w:val="20"/>
        </w:rPr>
      </w:pPr>
      <w:r w:rsidRPr="00297ADF">
        <w:rPr>
          <w:noProof/>
          <w:lang w:eastAsia="es-MX"/>
        </w:rPr>
        <w:drawing>
          <wp:inline distT="0" distB="0" distL="0" distR="0" wp14:anchorId="2F92FE3A" wp14:editId="352FBAE2">
            <wp:extent cx="2895600" cy="352635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95732" cy="3526519"/>
                    </a:xfrm>
                    <a:prstGeom prst="rect">
                      <a:avLst/>
                    </a:prstGeom>
                    <a:noFill/>
                    <a:ln>
                      <a:noFill/>
                    </a:ln>
                  </pic:spPr>
                </pic:pic>
              </a:graphicData>
            </a:graphic>
          </wp:inline>
        </w:drawing>
      </w:r>
    </w:p>
    <w:p w14:paraId="3AD7E0A1" w14:textId="7F7356B0" w:rsidR="00297ADF" w:rsidRDefault="00297ADF" w:rsidP="00297ADF">
      <w:pPr>
        <w:autoSpaceDE w:val="0"/>
        <w:autoSpaceDN w:val="0"/>
        <w:adjustRightInd w:val="0"/>
        <w:jc w:val="both"/>
        <w:rPr>
          <w:rFonts w:ascii="Arial" w:eastAsia="Calibri" w:hAnsi="Arial" w:cs="Arial"/>
          <w:b/>
          <w:bCs/>
          <w:i/>
          <w:sz w:val="20"/>
          <w:szCs w:val="20"/>
        </w:rPr>
      </w:pPr>
    </w:p>
    <w:p w14:paraId="06D1A3FD" w14:textId="77777777" w:rsidR="00167C29" w:rsidRPr="00297ADF" w:rsidRDefault="00167C29" w:rsidP="00297ADF">
      <w:pPr>
        <w:autoSpaceDE w:val="0"/>
        <w:autoSpaceDN w:val="0"/>
        <w:adjustRightInd w:val="0"/>
        <w:jc w:val="both"/>
        <w:rPr>
          <w:rFonts w:ascii="Arial" w:eastAsia="Calibri" w:hAnsi="Arial" w:cs="Arial"/>
          <w:b/>
          <w:bCs/>
          <w:i/>
          <w:sz w:val="20"/>
          <w:szCs w:val="20"/>
        </w:rPr>
      </w:pPr>
    </w:p>
    <w:p w14:paraId="06D159BB"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Cuentas por pagar a largo plazo</w:t>
      </w:r>
    </w:p>
    <w:p w14:paraId="286C1B39" w14:textId="77777777" w:rsidR="00297ADF" w:rsidRPr="00297ADF" w:rsidRDefault="00297ADF" w:rsidP="00297ADF">
      <w:pPr>
        <w:jc w:val="both"/>
        <w:outlineLvl w:val="0"/>
        <w:rPr>
          <w:rFonts w:ascii="Arial" w:eastAsia="Calibri" w:hAnsi="Arial" w:cs="Arial"/>
          <w:bCs/>
          <w:iCs/>
          <w:sz w:val="20"/>
          <w:szCs w:val="20"/>
        </w:rPr>
      </w:pPr>
    </w:p>
    <w:p w14:paraId="565D2DB3"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Este rubro del pasivo no circulante, refleja el registro de los compromisos contraídos a largo plazo, por la adquisición de bienes de consumo e inventariables, por la contratación de servicios y por otras deudas comerciales con proveedores; así como, por las obligaciones contraídas con contratistas por obra pública en bienes de dominio público y en bienes propios, las cuales se encuentran pendientes de liquidar.</w:t>
      </w:r>
    </w:p>
    <w:p w14:paraId="4FAF1D9E" w14:textId="77777777" w:rsidR="00297ADF" w:rsidRPr="00297ADF" w:rsidRDefault="00297ADF" w:rsidP="00297ADF">
      <w:pPr>
        <w:jc w:val="both"/>
        <w:rPr>
          <w:rFonts w:ascii="Arial" w:eastAsia="Calibri" w:hAnsi="Arial" w:cs="Arial"/>
          <w:sz w:val="20"/>
          <w:szCs w:val="20"/>
        </w:rPr>
      </w:pPr>
    </w:p>
    <w:p w14:paraId="0C101E54"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El saldo de este rubro al 31 de marzo de 2024, ascendió a $ 2,017,267,168 pesos, y representa el 11.2 % del total del pasivo no circulante.</w:t>
      </w:r>
    </w:p>
    <w:p w14:paraId="61682D84" w14:textId="77777777" w:rsidR="00297ADF" w:rsidRPr="00297ADF" w:rsidRDefault="00297ADF" w:rsidP="00297ADF">
      <w:pPr>
        <w:jc w:val="both"/>
        <w:outlineLvl w:val="0"/>
        <w:rPr>
          <w:rFonts w:ascii="Arial" w:eastAsia="Calibri" w:hAnsi="Arial" w:cs="Arial"/>
          <w:sz w:val="20"/>
          <w:szCs w:val="20"/>
        </w:rPr>
      </w:pPr>
    </w:p>
    <w:p w14:paraId="74A71936" w14:textId="77777777" w:rsidR="00297ADF" w:rsidRPr="00297ADF" w:rsidRDefault="00297ADF" w:rsidP="00297ADF">
      <w:pPr>
        <w:jc w:val="center"/>
        <w:rPr>
          <w:rFonts w:ascii="Arial" w:eastAsia="Calibri" w:hAnsi="Arial" w:cs="Arial"/>
          <w:sz w:val="20"/>
          <w:szCs w:val="20"/>
        </w:rPr>
      </w:pPr>
      <w:r w:rsidRPr="00297ADF">
        <w:rPr>
          <w:noProof/>
          <w:lang w:eastAsia="es-MX"/>
        </w:rPr>
        <w:drawing>
          <wp:inline distT="0" distB="0" distL="0" distR="0" wp14:anchorId="03213258" wp14:editId="2B94FCF6">
            <wp:extent cx="3725545" cy="1388745"/>
            <wp:effectExtent l="0" t="0" r="825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497F1AE9" w14:textId="77777777" w:rsidR="00297ADF" w:rsidRPr="00297ADF" w:rsidRDefault="00297ADF" w:rsidP="00297ADF">
      <w:pPr>
        <w:jc w:val="both"/>
        <w:outlineLvl w:val="0"/>
        <w:rPr>
          <w:rFonts w:ascii="Arial" w:eastAsia="Calibri" w:hAnsi="Arial" w:cs="Arial"/>
          <w:b/>
          <w:bCs/>
          <w:i/>
          <w:iCs/>
          <w:sz w:val="20"/>
          <w:szCs w:val="20"/>
        </w:rPr>
      </w:pPr>
    </w:p>
    <w:p w14:paraId="2C3844DF" w14:textId="77777777" w:rsidR="00297ADF" w:rsidRPr="00297ADF" w:rsidRDefault="00297ADF" w:rsidP="00297ADF">
      <w:pPr>
        <w:jc w:val="both"/>
        <w:outlineLvl w:val="0"/>
        <w:rPr>
          <w:rFonts w:ascii="Arial" w:eastAsia="Calibri" w:hAnsi="Arial" w:cs="Arial"/>
          <w:b/>
          <w:bCs/>
          <w:i/>
          <w:iCs/>
          <w:sz w:val="20"/>
          <w:szCs w:val="20"/>
        </w:rPr>
      </w:pPr>
    </w:p>
    <w:p w14:paraId="05B6EBE4"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Documentos por pagar a largo plazo</w:t>
      </w:r>
    </w:p>
    <w:p w14:paraId="55844B3D" w14:textId="77777777" w:rsidR="00297ADF" w:rsidRPr="00297ADF" w:rsidRDefault="00297ADF" w:rsidP="00297ADF">
      <w:pPr>
        <w:jc w:val="both"/>
        <w:outlineLvl w:val="0"/>
        <w:rPr>
          <w:rFonts w:ascii="Arial" w:eastAsia="Calibri" w:hAnsi="Arial" w:cs="Arial"/>
          <w:b/>
          <w:bCs/>
          <w:i/>
          <w:iCs/>
          <w:sz w:val="20"/>
          <w:szCs w:val="20"/>
        </w:rPr>
      </w:pPr>
    </w:p>
    <w:p w14:paraId="4F4752F4"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7E4634C7" w14:textId="77777777" w:rsidR="00297ADF" w:rsidRPr="00297ADF" w:rsidRDefault="00297ADF" w:rsidP="00297ADF">
      <w:pPr>
        <w:jc w:val="both"/>
        <w:outlineLvl w:val="0"/>
        <w:rPr>
          <w:rFonts w:ascii="Arial" w:eastAsia="Calibri" w:hAnsi="Arial" w:cs="Arial"/>
          <w:sz w:val="20"/>
          <w:szCs w:val="20"/>
        </w:rPr>
      </w:pPr>
    </w:p>
    <w:p w14:paraId="6663A3D6" w14:textId="77777777" w:rsidR="00297ADF" w:rsidRPr="00297ADF" w:rsidRDefault="00297ADF" w:rsidP="00297ADF">
      <w:pPr>
        <w:jc w:val="both"/>
        <w:outlineLvl w:val="0"/>
        <w:rPr>
          <w:rFonts w:ascii="Arial" w:eastAsia="Calibri" w:hAnsi="Arial" w:cs="Arial"/>
          <w:bCs/>
          <w:iCs/>
          <w:sz w:val="20"/>
          <w:szCs w:val="20"/>
        </w:rPr>
      </w:pPr>
      <w:r w:rsidRPr="00297ADF">
        <w:rPr>
          <w:rFonts w:ascii="Arial" w:eastAsia="Calibri" w:hAnsi="Arial" w:cs="Arial"/>
          <w:bCs/>
          <w:sz w:val="20"/>
          <w:szCs w:val="20"/>
        </w:rPr>
        <w:t xml:space="preserve">El saldo </w:t>
      </w:r>
      <w:r w:rsidRPr="00297ADF">
        <w:rPr>
          <w:rFonts w:ascii="Arial" w:eastAsia="Calibri" w:hAnsi="Arial" w:cs="Arial"/>
          <w:sz w:val="20"/>
          <w:szCs w:val="20"/>
        </w:rPr>
        <w:t>al 31 de marzo de 2024,</w:t>
      </w:r>
      <w:r w:rsidRPr="00297ADF">
        <w:rPr>
          <w:rFonts w:ascii="Arial" w:eastAsia="Calibri" w:hAnsi="Arial" w:cs="Arial"/>
          <w:bCs/>
          <w:sz w:val="20"/>
          <w:szCs w:val="20"/>
        </w:rPr>
        <w:t xml:space="preserve"> es de $ 124,011 pesos.</w:t>
      </w:r>
    </w:p>
    <w:p w14:paraId="1791382A" w14:textId="77777777" w:rsidR="00297ADF" w:rsidRPr="00297ADF" w:rsidRDefault="00297ADF" w:rsidP="00297ADF">
      <w:pPr>
        <w:jc w:val="both"/>
        <w:outlineLvl w:val="0"/>
        <w:rPr>
          <w:rFonts w:ascii="Arial" w:eastAsia="Calibri" w:hAnsi="Arial" w:cs="Arial"/>
          <w:sz w:val="20"/>
          <w:szCs w:val="20"/>
        </w:rPr>
      </w:pPr>
    </w:p>
    <w:p w14:paraId="39245A8E"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lastRenderedPageBreak/>
        <w:drawing>
          <wp:inline distT="0" distB="0" distL="0" distR="0" wp14:anchorId="0DB93C8B" wp14:editId="16545C71">
            <wp:extent cx="3725545" cy="1388745"/>
            <wp:effectExtent l="0" t="0" r="8255"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42B2D560" w14:textId="77777777" w:rsidR="00297ADF" w:rsidRPr="00297ADF" w:rsidRDefault="00297ADF" w:rsidP="00297ADF">
      <w:pPr>
        <w:jc w:val="both"/>
        <w:rPr>
          <w:rFonts w:ascii="Arial" w:eastAsia="Calibri" w:hAnsi="Arial" w:cs="Arial"/>
          <w:b/>
          <w:bCs/>
          <w:i/>
          <w:sz w:val="20"/>
          <w:szCs w:val="20"/>
        </w:rPr>
      </w:pPr>
    </w:p>
    <w:p w14:paraId="61B08AE8" w14:textId="77777777" w:rsidR="00297ADF" w:rsidRPr="00297ADF" w:rsidRDefault="00297ADF" w:rsidP="00297ADF">
      <w:pPr>
        <w:jc w:val="both"/>
        <w:rPr>
          <w:rFonts w:ascii="Arial" w:eastAsia="Calibri" w:hAnsi="Arial" w:cs="Arial"/>
          <w:b/>
          <w:bCs/>
          <w:i/>
          <w:sz w:val="20"/>
          <w:szCs w:val="20"/>
        </w:rPr>
      </w:pPr>
    </w:p>
    <w:p w14:paraId="4CCDC79D"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Deuda pública a largo plazo</w:t>
      </w:r>
    </w:p>
    <w:p w14:paraId="0D6FAA01" w14:textId="77777777" w:rsidR="00297ADF" w:rsidRPr="00297ADF" w:rsidRDefault="00297ADF" w:rsidP="00297ADF">
      <w:pPr>
        <w:jc w:val="both"/>
        <w:outlineLvl w:val="0"/>
        <w:rPr>
          <w:rFonts w:ascii="Arial" w:eastAsia="Calibri" w:hAnsi="Arial" w:cs="Arial"/>
          <w:b/>
          <w:bCs/>
          <w:i/>
          <w:iCs/>
          <w:sz w:val="20"/>
          <w:szCs w:val="20"/>
        </w:rPr>
      </w:pPr>
    </w:p>
    <w:p w14:paraId="0FD9A549" w14:textId="77777777" w:rsidR="00297ADF" w:rsidRPr="00297ADF" w:rsidRDefault="00297ADF" w:rsidP="00297ADF">
      <w:pPr>
        <w:jc w:val="both"/>
        <w:rPr>
          <w:rFonts w:ascii="Arial" w:eastAsia="Arial" w:hAnsi="Arial" w:cs="Arial"/>
          <w:sz w:val="20"/>
          <w:szCs w:val="20"/>
        </w:rPr>
      </w:pPr>
      <w:r w:rsidRPr="00297ADF">
        <w:rPr>
          <w:rFonts w:ascii="Arial" w:eastAsia="Calibri" w:hAnsi="Arial" w:cs="Arial"/>
          <w:sz w:val="20"/>
          <w:szCs w:val="20"/>
        </w:rPr>
        <w:t>Al 31 de marzo de 2024</w:t>
      </w:r>
      <w:r w:rsidRPr="00297ADF">
        <w:rPr>
          <w:rFonts w:ascii="Arial" w:eastAsia="Arial" w:hAnsi="Arial" w:cs="Arial"/>
          <w:sz w:val="20"/>
          <w:szCs w:val="20"/>
        </w:rPr>
        <w:t xml:space="preserve">, la deuda pública a largo plazo, reportó un saldo total de $ 12,267,694,556 pesos, dicha deuda se tiene contratada con las siguientes instituciones bancarias, BANOBRAS, S.N.C., Banco Santander, S.A., BBVA Bancomer, S.A., y Banorte, S.A. </w:t>
      </w:r>
    </w:p>
    <w:p w14:paraId="2BA6887C" w14:textId="77777777" w:rsidR="00297ADF" w:rsidRPr="00297ADF" w:rsidRDefault="00297ADF" w:rsidP="00297ADF">
      <w:pPr>
        <w:jc w:val="both"/>
        <w:rPr>
          <w:rFonts w:ascii="Arial" w:eastAsia="Arial" w:hAnsi="Arial" w:cs="Arial"/>
          <w:sz w:val="20"/>
          <w:szCs w:val="20"/>
        </w:rPr>
      </w:pPr>
    </w:p>
    <w:p w14:paraId="2ECEC1E8"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Representa el 68.4 % del total del pasivo no circulante.</w:t>
      </w:r>
    </w:p>
    <w:p w14:paraId="4CF1B859" w14:textId="77777777" w:rsidR="00297ADF" w:rsidRPr="00297ADF" w:rsidRDefault="00297ADF" w:rsidP="00297ADF">
      <w:pPr>
        <w:jc w:val="both"/>
        <w:outlineLvl w:val="0"/>
        <w:rPr>
          <w:rFonts w:ascii="Arial" w:eastAsia="Calibri" w:hAnsi="Arial" w:cs="Arial"/>
          <w:sz w:val="20"/>
          <w:szCs w:val="20"/>
        </w:rPr>
      </w:pPr>
    </w:p>
    <w:p w14:paraId="703A0AB7"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drawing>
          <wp:inline distT="0" distB="0" distL="0" distR="0" wp14:anchorId="3D6B1A84" wp14:editId="50E50E06">
            <wp:extent cx="3725545" cy="1388745"/>
            <wp:effectExtent l="0" t="0" r="8255"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7DBA0D41" w14:textId="77777777" w:rsidR="00297ADF" w:rsidRPr="00297ADF" w:rsidRDefault="00297ADF" w:rsidP="00297ADF">
      <w:pPr>
        <w:jc w:val="both"/>
        <w:rPr>
          <w:rFonts w:ascii="Arial" w:eastAsia="Calibri" w:hAnsi="Arial" w:cs="Arial"/>
          <w:b/>
          <w:sz w:val="20"/>
          <w:szCs w:val="20"/>
        </w:rPr>
      </w:pPr>
    </w:p>
    <w:p w14:paraId="659B83B4" w14:textId="77777777" w:rsidR="00297ADF" w:rsidRPr="00297ADF" w:rsidRDefault="00297ADF" w:rsidP="00297ADF">
      <w:pPr>
        <w:jc w:val="both"/>
        <w:rPr>
          <w:rFonts w:ascii="Arial" w:eastAsia="Calibri" w:hAnsi="Arial" w:cs="Arial"/>
          <w:b/>
          <w:sz w:val="20"/>
          <w:szCs w:val="20"/>
        </w:rPr>
      </w:pPr>
    </w:p>
    <w:p w14:paraId="1A186B6E"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Pasivos diferidos a largo plazo</w:t>
      </w:r>
    </w:p>
    <w:p w14:paraId="35DE290A" w14:textId="77777777" w:rsidR="00297ADF" w:rsidRPr="00297ADF" w:rsidRDefault="00297ADF" w:rsidP="00297ADF">
      <w:pPr>
        <w:jc w:val="both"/>
        <w:outlineLvl w:val="0"/>
        <w:rPr>
          <w:rFonts w:ascii="Arial" w:eastAsia="Calibri" w:hAnsi="Arial" w:cs="Arial"/>
          <w:b/>
          <w:bCs/>
          <w:i/>
          <w:sz w:val="20"/>
          <w:szCs w:val="20"/>
        </w:rPr>
      </w:pPr>
    </w:p>
    <w:p w14:paraId="26D92273"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Este rubro del pasivo no circulante se integra por el registro de prestaciones salariales del personal de burocracia y magisterio del Gobierno del Estado como son: sueldos, prima vacacional y dominical, bono de productividad, tiempo extra, gastos funerarios, honorarios y aguinaldo devengado no pagado a la fecha que se informa, las aportaciones patronales al IMSS, ISSTECH, INFONAVIT, aportaciones para seguros y el 2 % del Impuesto Sobre Nóminas.</w:t>
      </w:r>
    </w:p>
    <w:p w14:paraId="730B69FE" w14:textId="77777777" w:rsidR="00297ADF" w:rsidRPr="00297ADF" w:rsidRDefault="00297ADF" w:rsidP="00297ADF">
      <w:pPr>
        <w:autoSpaceDE w:val="0"/>
        <w:autoSpaceDN w:val="0"/>
        <w:adjustRightInd w:val="0"/>
        <w:jc w:val="both"/>
        <w:rPr>
          <w:rFonts w:ascii="Arial" w:eastAsia="Calibri" w:hAnsi="Arial" w:cs="Arial"/>
          <w:sz w:val="20"/>
          <w:szCs w:val="20"/>
        </w:rPr>
      </w:pPr>
    </w:p>
    <w:p w14:paraId="17EE3BC6"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También, forman parte los recursos de ayudas sociales para: personas, instituciones de enseñanza y actividades científicas o académicas; becas para alumnos de diferentes niveles educativos, becas para programas de capacitación y becas para hijos de madres solteras; además, por los subsidios a la producción y a la inversión, y por otros subsidios a entes públicos; asimismo, las transferencias a fideicomisos, las asignaciones presupuestarias por concepto de constancias de antecedentes no penales, los remanentes de recursos y los premios otorgados.</w:t>
      </w:r>
    </w:p>
    <w:p w14:paraId="2977D035" w14:textId="77777777" w:rsidR="00297ADF" w:rsidRPr="00297ADF" w:rsidRDefault="00297ADF" w:rsidP="00297ADF">
      <w:pPr>
        <w:autoSpaceDE w:val="0"/>
        <w:autoSpaceDN w:val="0"/>
        <w:adjustRightInd w:val="0"/>
        <w:jc w:val="both"/>
        <w:rPr>
          <w:rFonts w:ascii="Arial" w:eastAsia="Calibri" w:hAnsi="Arial" w:cs="Arial"/>
          <w:sz w:val="20"/>
          <w:szCs w:val="20"/>
        </w:rPr>
      </w:pPr>
    </w:p>
    <w:p w14:paraId="747B3A59"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Se incluyen en este rubro, el registro de las retenciones por servicios personales: ISSS, crédito INFONAVIT, cuota IMSS, crédito FONACOT, cuota SAR, cuota FPSSTS, cuota ISSTECH, cuota ISSSTE, cuota FOVISSSTE, 2 % del Impuesto Sobre Nóminas, aportaciones al fondo de ahorro, recuperación de préstamos personales, préstamos con instituciones financieras, cuota sindical, pensión alimenticia, disciplinarios, seguro de vida, aportaciones al seguro institucional; además, de las retenciones y contribuciones a favor de terceros, Impuesto Sobre la Renta, IVA por pagar, ISR por honorarios y/o arrendamiento de inmuebles, así como, las sanciones a contratistas, y la actualización y los recargos.</w:t>
      </w:r>
    </w:p>
    <w:p w14:paraId="367A51E8" w14:textId="77777777" w:rsidR="00297ADF" w:rsidRPr="00297ADF" w:rsidRDefault="00297ADF" w:rsidP="00297ADF">
      <w:pPr>
        <w:autoSpaceDE w:val="0"/>
        <w:autoSpaceDN w:val="0"/>
        <w:adjustRightInd w:val="0"/>
        <w:jc w:val="both"/>
        <w:rPr>
          <w:rFonts w:ascii="Arial" w:eastAsia="Calibri" w:hAnsi="Arial" w:cs="Arial"/>
          <w:sz w:val="20"/>
          <w:szCs w:val="20"/>
        </w:rPr>
      </w:pPr>
    </w:p>
    <w:p w14:paraId="0DA50893"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Además, por las retenciones efectuadas a los contratistas por obra pública, por los siguientes conceptos:</w:t>
      </w:r>
    </w:p>
    <w:p w14:paraId="0F46BA55" w14:textId="77777777" w:rsidR="00297ADF" w:rsidRPr="00297ADF" w:rsidRDefault="00297ADF" w:rsidP="00297ADF">
      <w:pPr>
        <w:jc w:val="both"/>
        <w:outlineLvl w:val="0"/>
        <w:rPr>
          <w:rFonts w:ascii="Arial" w:eastAsia="Calibri" w:hAnsi="Arial" w:cs="Arial"/>
          <w:sz w:val="20"/>
          <w:szCs w:val="20"/>
        </w:rPr>
      </w:pPr>
    </w:p>
    <w:p w14:paraId="27671AEF" w14:textId="77777777" w:rsidR="00297ADF" w:rsidRPr="00297ADF" w:rsidRDefault="00297ADF" w:rsidP="00297ADF">
      <w:pPr>
        <w:numPr>
          <w:ilvl w:val="0"/>
          <w:numId w:val="24"/>
        </w:numPr>
        <w:spacing w:after="120"/>
        <w:ind w:left="357" w:hanging="357"/>
        <w:jc w:val="both"/>
        <w:rPr>
          <w:rFonts w:ascii="Arial" w:eastAsia="Calibri" w:hAnsi="Arial" w:cs="Arial"/>
          <w:sz w:val="20"/>
          <w:szCs w:val="20"/>
        </w:rPr>
      </w:pPr>
      <w:r w:rsidRPr="00297ADF">
        <w:rPr>
          <w:rFonts w:ascii="Arial" w:eastAsia="Calibri" w:hAnsi="Arial" w:cs="Arial"/>
          <w:sz w:val="20"/>
          <w:szCs w:val="20"/>
        </w:rPr>
        <w:t>1 % de Aportación al Estado para Obras de Beneficio Social,</w:t>
      </w:r>
    </w:p>
    <w:p w14:paraId="39810450" w14:textId="77777777" w:rsidR="00297ADF" w:rsidRPr="00297ADF" w:rsidRDefault="00297ADF" w:rsidP="00297ADF">
      <w:pPr>
        <w:numPr>
          <w:ilvl w:val="0"/>
          <w:numId w:val="24"/>
        </w:numPr>
        <w:spacing w:after="120"/>
        <w:ind w:left="357" w:hanging="357"/>
        <w:jc w:val="both"/>
        <w:rPr>
          <w:rFonts w:ascii="Arial" w:eastAsia="Calibri" w:hAnsi="Arial" w:cs="Arial"/>
          <w:sz w:val="20"/>
          <w:szCs w:val="20"/>
        </w:rPr>
      </w:pPr>
      <w:r w:rsidRPr="00297ADF">
        <w:rPr>
          <w:rFonts w:ascii="Arial" w:eastAsia="Calibri" w:hAnsi="Arial" w:cs="Arial"/>
          <w:sz w:val="20"/>
          <w:szCs w:val="20"/>
        </w:rPr>
        <w:t>3 al millar para el Instituto de Capacitación de la Industria de la Construcción, y</w:t>
      </w:r>
    </w:p>
    <w:p w14:paraId="258F4176" w14:textId="77777777" w:rsidR="00297ADF" w:rsidRPr="00297ADF" w:rsidRDefault="00297ADF" w:rsidP="00297ADF">
      <w:pPr>
        <w:numPr>
          <w:ilvl w:val="0"/>
          <w:numId w:val="24"/>
        </w:numPr>
        <w:spacing w:after="120"/>
        <w:ind w:left="357" w:hanging="357"/>
        <w:jc w:val="both"/>
        <w:rPr>
          <w:rFonts w:ascii="Arial" w:eastAsia="Calibri" w:hAnsi="Arial" w:cs="Arial"/>
          <w:sz w:val="20"/>
          <w:szCs w:val="20"/>
        </w:rPr>
      </w:pPr>
      <w:r w:rsidRPr="00297ADF">
        <w:rPr>
          <w:rFonts w:ascii="Arial" w:eastAsia="Calibri" w:hAnsi="Arial" w:cs="Arial"/>
          <w:sz w:val="20"/>
          <w:szCs w:val="20"/>
        </w:rPr>
        <w:t>5 al millar de Inspección y Vigilancia.</w:t>
      </w:r>
    </w:p>
    <w:p w14:paraId="03CF21E4"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lastRenderedPageBreak/>
        <w:t>Por otra parte, dentro este rubro se encuentra los préstamos del fondo auxiliar,  los cheques en circulación no cobrados en oportunidad, los cheques cancelados, los adeudos de gastos por responsabilidades, los depósitos de entes extintos, los rendimientos bancarios, los pasivos trasladados de dependencias y los abonos bancarios por aclarar.</w:t>
      </w:r>
    </w:p>
    <w:p w14:paraId="3C53C906" w14:textId="77777777" w:rsidR="00297ADF" w:rsidRPr="00297ADF" w:rsidRDefault="00297ADF" w:rsidP="00297ADF">
      <w:pPr>
        <w:jc w:val="both"/>
        <w:outlineLvl w:val="0"/>
        <w:rPr>
          <w:rFonts w:ascii="Arial" w:eastAsia="Calibri" w:hAnsi="Arial" w:cs="Arial"/>
          <w:sz w:val="20"/>
          <w:szCs w:val="20"/>
        </w:rPr>
      </w:pPr>
    </w:p>
    <w:p w14:paraId="7553B08F"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El saldo de este rubro al 31 de marzo de 2024, ascendió a $ 2,667,788,635 pesos, y representa el 14.9 % del total del pasivo no circulante.</w:t>
      </w:r>
    </w:p>
    <w:p w14:paraId="26A965CC" w14:textId="77777777" w:rsidR="00297ADF" w:rsidRPr="00297ADF" w:rsidRDefault="00297ADF" w:rsidP="00297ADF">
      <w:pPr>
        <w:jc w:val="both"/>
        <w:outlineLvl w:val="0"/>
        <w:rPr>
          <w:rFonts w:ascii="Arial" w:eastAsia="Calibri" w:hAnsi="Arial" w:cs="Arial"/>
          <w:sz w:val="20"/>
          <w:szCs w:val="20"/>
        </w:rPr>
      </w:pPr>
    </w:p>
    <w:p w14:paraId="4BB302B9" w14:textId="77777777" w:rsidR="00297ADF" w:rsidRPr="00297ADF" w:rsidRDefault="00297ADF" w:rsidP="00297ADF">
      <w:pPr>
        <w:jc w:val="center"/>
        <w:outlineLvl w:val="0"/>
        <w:rPr>
          <w:rFonts w:ascii="Arial" w:eastAsia="Calibri" w:hAnsi="Arial" w:cs="Arial"/>
          <w:b/>
          <w:bCs/>
          <w:i/>
          <w:sz w:val="20"/>
          <w:szCs w:val="20"/>
        </w:rPr>
      </w:pPr>
      <w:r w:rsidRPr="00297ADF">
        <w:rPr>
          <w:noProof/>
          <w:lang w:eastAsia="es-MX"/>
        </w:rPr>
        <w:drawing>
          <wp:inline distT="0" distB="0" distL="0" distR="0" wp14:anchorId="7E57CE5F" wp14:editId="09951CAF">
            <wp:extent cx="3725545" cy="1388745"/>
            <wp:effectExtent l="0" t="0" r="825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2D7C5537" w14:textId="77777777" w:rsidR="00297ADF" w:rsidRPr="00297ADF" w:rsidRDefault="00297ADF" w:rsidP="00297ADF">
      <w:pPr>
        <w:jc w:val="both"/>
        <w:outlineLvl w:val="0"/>
        <w:rPr>
          <w:rFonts w:ascii="Arial" w:eastAsia="Calibri" w:hAnsi="Arial" w:cs="Arial"/>
          <w:b/>
          <w:bCs/>
          <w:i/>
          <w:sz w:val="20"/>
          <w:szCs w:val="20"/>
        </w:rPr>
      </w:pPr>
    </w:p>
    <w:p w14:paraId="15DDE8F0" w14:textId="77777777" w:rsidR="00297ADF" w:rsidRPr="00297ADF" w:rsidRDefault="00297ADF" w:rsidP="00297ADF">
      <w:pPr>
        <w:jc w:val="both"/>
        <w:outlineLvl w:val="0"/>
        <w:rPr>
          <w:rFonts w:ascii="Arial" w:eastAsia="Calibri" w:hAnsi="Arial" w:cs="Arial"/>
          <w:b/>
          <w:bCs/>
          <w:i/>
          <w:sz w:val="20"/>
          <w:szCs w:val="20"/>
        </w:rPr>
      </w:pPr>
    </w:p>
    <w:p w14:paraId="7D3DFD60"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Fondos y bienes de terceros en garantía y/o administración a largo plazo</w:t>
      </w:r>
    </w:p>
    <w:p w14:paraId="4E2E42EF" w14:textId="77777777" w:rsidR="00297ADF" w:rsidRPr="00297ADF" w:rsidRDefault="00297ADF" w:rsidP="00297ADF">
      <w:pPr>
        <w:jc w:val="both"/>
        <w:outlineLvl w:val="0"/>
        <w:rPr>
          <w:rFonts w:ascii="Arial" w:eastAsia="Calibri" w:hAnsi="Arial" w:cs="Arial"/>
          <w:sz w:val="20"/>
          <w:szCs w:val="20"/>
        </w:rPr>
      </w:pPr>
    </w:p>
    <w:p w14:paraId="5FCABCCA"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31 de marzo de 2024, el saldo de este rubro asciende a $ 931,534,481 pesos y corresponde a los siguientes fondos: Fondo de Garantía de Notariado del Estado, Fondo de Previsión del Seguro de Vida del personal de burocracia y Fondo Nacional de Desastres Naturales.</w:t>
      </w:r>
    </w:p>
    <w:p w14:paraId="7FB975C8" w14:textId="77777777" w:rsidR="00297ADF" w:rsidRPr="00297ADF" w:rsidRDefault="00297ADF" w:rsidP="00297ADF">
      <w:pPr>
        <w:jc w:val="both"/>
        <w:outlineLvl w:val="0"/>
        <w:rPr>
          <w:rFonts w:ascii="Arial" w:eastAsia="Calibri" w:hAnsi="Arial" w:cs="Arial"/>
          <w:sz w:val="20"/>
          <w:szCs w:val="20"/>
        </w:rPr>
      </w:pPr>
    </w:p>
    <w:p w14:paraId="08E88926"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Además, se integra por el registro de recursos administrados pertenecientes a los entes públicos, correspondiente a las obligaciones con recursos ajenos y recursos propios, destinados para programas en zonas prioritarias y vulnerables, y para el desarrollo de pueblos y comunidades indígenas.</w:t>
      </w:r>
    </w:p>
    <w:p w14:paraId="5BE22449" w14:textId="77777777" w:rsidR="00297ADF" w:rsidRPr="00297ADF" w:rsidRDefault="00297ADF" w:rsidP="00297ADF">
      <w:pPr>
        <w:jc w:val="both"/>
        <w:outlineLvl w:val="0"/>
        <w:rPr>
          <w:rFonts w:ascii="Arial" w:eastAsia="Calibri" w:hAnsi="Arial" w:cs="Arial"/>
          <w:sz w:val="20"/>
          <w:szCs w:val="20"/>
        </w:rPr>
      </w:pPr>
    </w:p>
    <w:p w14:paraId="0D96E82D" w14:textId="77777777" w:rsidR="00297ADF" w:rsidRPr="00297ADF" w:rsidRDefault="00297ADF" w:rsidP="00297ADF">
      <w:pPr>
        <w:jc w:val="both"/>
        <w:rPr>
          <w:rFonts w:ascii="Arial" w:eastAsia="Arial" w:hAnsi="Arial" w:cs="Arial"/>
          <w:sz w:val="20"/>
          <w:szCs w:val="20"/>
        </w:rPr>
      </w:pPr>
      <w:r w:rsidRPr="00297ADF">
        <w:rPr>
          <w:rFonts w:ascii="Arial" w:eastAsia="Calibri" w:hAnsi="Arial" w:cs="Arial"/>
          <w:sz w:val="20"/>
          <w:szCs w:val="20"/>
        </w:rPr>
        <w:t xml:space="preserve">Asimismo, se incluyen dentro de este rubro, </w:t>
      </w:r>
      <w:r w:rsidRPr="00297ADF">
        <w:rPr>
          <w:rFonts w:ascii="Arial" w:eastAsia="Arial" w:hAnsi="Arial" w:cs="Arial"/>
          <w:sz w:val="20"/>
          <w:szCs w:val="20"/>
        </w:rPr>
        <w:t xml:space="preserve">los recursos derivados de la recaudación de impuestos municipales administrados por el Gobierno del Estado, por concepto de Impuestos a la propiedad inmobiliaria (predial, traslación de dominio y sobre fraccionamientos), </w:t>
      </w:r>
      <w:r w:rsidRPr="00297ADF">
        <w:rPr>
          <w:rFonts w:ascii="Arial" w:eastAsia="Calibri" w:hAnsi="Arial" w:cs="Arial"/>
          <w:sz w:val="20"/>
          <w:szCs w:val="20"/>
        </w:rPr>
        <w:t xml:space="preserve">los rendimientos bancarios, costo de nóminas, cuotas ISSTECH y 2 % del Impuesto Sobre Nóminas, cheques en circulación no cobrados en su oportunidad, recursos de los programas Amanecer y </w:t>
      </w:r>
      <w:proofErr w:type="spellStart"/>
      <w:r w:rsidRPr="00297ADF">
        <w:rPr>
          <w:rFonts w:ascii="Arial" w:eastAsia="Calibri" w:hAnsi="Arial" w:cs="Arial"/>
          <w:sz w:val="20"/>
          <w:szCs w:val="20"/>
        </w:rPr>
        <w:t>BanMujer</w:t>
      </w:r>
      <w:proofErr w:type="spellEnd"/>
      <w:r w:rsidRPr="00297ADF">
        <w:rPr>
          <w:rFonts w:ascii="Arial" w:eastAsia="Calibri" w:hAnsi="Arial" w:cs="Arial"/>
          <w:sz w:val="20"/>
          <w:szCs w:val="20"/>
        </w:rPr>
        <w:t xml:space="preserve">, sobrantes de socorro de ley, recursos por anticipo de contratos, aportaciones al seguro de vida, reintegros de recursos, subsidio al empleo, recursos de entes extintos y maquila de cheques. </w:t>
      </w:r>
    </w:p>
    <w:p w14:paraId="7155D026" w14:textId="77777777" w:rsidR="00297ADF" w:rsidRPr="00297ADF" w:rsidRDefault="00297ADF" w:rsidP="00297ADF">
      <w:pPr>
        <w:jc w:val="both"/>
        <w:outlineLvl w:val="0"/>
        <w:rPr>
          <w:rFonts w:ascii="Arial" w:eastAsia="Calibri" w:hAnsi="Arial" w:cs="Arial"/>
          <w:sz w:val="20"/>
          <w:szCs w:val="20"/>
        </w:rPr>
      </w:pPr>
    </w:p>
    <w:p w14:paraId="041F3ECA"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Este rubro representa el 5.2 % del total del pasivo no circulante.</w:t>
      </w:r>
    </w:p>
    <w:p w14:paraId="3DB87DF6" w14:textId="77777777" w:rsidR="00297ADF" w:rsidRPr="00297ADF" w:rsidRDefault="00297ADF" w:rsidP="00297ADF">
      <w:pPr>
        <w:jc w:val="both"/>
        <w:outlineLvl w:val="0"/>
        <w:rPr>
          <w:rFonts w:ascii="Arial" w:eastAsia="Calibri" w:hAnsi="Arial" w:cs="Arial"/>
          <w:sz w:val="20"/>
          <w:szCs w:val="20"/>
        </w:rPr>
      </w:pPr>
    </w:p>
    <w:p w14:paraId="69C51125"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drawing>
          <wp:inline distT="0" distB="0" distL="0" distR="0" wp14:anchorId="387A16F4" wp14:editId="3ECF5D04">
            <wp:extent cx="3725545" cy="1574800"/>
            <wp:effectExtent l="0" t="0" r="825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25545" cy="1574800"/>
                    </a:xfrm>
                    <a:prstGeom prst="rect">
                      <a:avLst/>
                    </a:prstGeom>
                    <a:noFill/>
                    <a:ln>
                      <a:noFill/>
                    </a:ln>
                  </pic:spPr>
                </pic:pic>
              </a:graphicData>
            </a:graphic>
          </wp:inline>
        </w:drawing>
      </w:r>
    </w:p>
    <w:p w14:paraId="482F9CEC" w14:textId="77777777" w:rsidR="00297ADF" w:rsidRPr="00297ADF" w:rsidRDefault="00297ADF" w:rsidP="00297ADF">
      <w:pPr>
        <w:jc w:val="both"/>
        <w:outlineLvl w:val="0"/>
        <w:rPr>
          <w:rFonts w:ascii="Arial" w:eastAsia="Calibri" w:hAnsi="Arial" w:cs="Arial"/>
          <w:sz w:val="20"/>
          <w:szCs w:val="20"/>
        </w:rPr>
      </w:pPr>
    </w:p>
    <w:p w14:paraId="65A3D376" w14:textId="77777777" w:rsidR="00297ADF" w:rsidRPr="00297ADF" w:rsidRDefault="00297ADF" w:rsidP="00297ADF">
      <w:pPr>
        <w:jc w:val="both"/>
        <w:outlineLvl w:val="0"/>
        <w:rPr>
          <w:rFonts w:ascii="Arial" w:eastAsia="Calibri" w:hAnsi="Arial" w:cs="Arial"/>
          <w:sz w:val="20"/>
          <w:szCs w:val="20"/>
        </w:rPr>
      </w:pPr>
    </w:p>
    <w:p w14:paraId="58F44BE1" w14:textId="77777777" w:rsidR="00297ADF" w:rsidRPr="00297ADF" w:rsidRDefault="00297ADF" w:rsidP="00297ADF">
      <w:pPr>
        <w:widowControl w:val="0"/>
        <w:jc w:val="both"/>
        <w:rPr>
          <w:rFonts w:ascii="Arial" w:eastAsia="Times New Roman" w:hAnsi="Arial" w:cs="Times New Roman"/>
          <w:b/>
          <w:i/>
          <w:snapToGrid w:val="0"/>
          <w:sz w:val="20"/>
          <w:szCs w:val="20"/>
          <w:u w:val="single"/>
          <w:lang w:eastAsia="es-ES"/>
        </w:rPr>
      </w:pPr>
      <w:r w:rsidRPr="00297ADF">
        <w:rPr>
          <w:rFonts w:ascii="Arial" w:eastAsia="Times New Roman" w:hAnsi="Arial" w:cs="Times New Roman"/>
          <w:b/>
          <w:i/>
          <w:snapToGrid w:val="0"/>
          <w:sz w:val="20"/>
          <w:szCs w:val="20"/>
          <w:u w:val="single"/>
          <w:lang w:eastAsia="es-ES"/>
        </w:rPr>
        <w:t>Provisiones a largo plazo</w:t>
      </w:r>
    </w:p>
    <w:p w14:paraId="2F0FD3CD" w14:textId="77777777" w:rsidR="00297ADF" w:rsidRPr="00297ADF" w:rsidRDefault="00297ADF" w:rsidP="00297ADF">
      <w:pPr>
        <w:autoSpaceDE w:val="0"/>
        <w:autoSpaceDN w:val="0"/>
        <w:adjustRightInd w:val="0"/>
        <w:jc w:val="both"/>
        <w:rPr>
          <w:rFonts w:ascii="Arial" w:eastAsia="Calibri" w:hAnsi="Arial" w:cs="Arial"/>
          <w:b/>
          <w:bCs/>
          <w:i/>
          <w:sz w:val="20"/>
          <w:szCs w:val="20"/>
        </w:rPr>
      </w:pPr>
    </w:p>
    <w:p w14:paraId="0D3D29E1"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31 de marzo de 2024, este rubro del pasivo no circulante, asciende a $ 58,359,624 pesos, integrado por la provisión para demandas y juicios, por la provisión para pensiones y por la provisión para contingencias a largo plazo, para hacer frente a casos fortuitos, que resulten de la operatividad de los entes públicos que conforman el Gobierno del estado de Chiapas.</w:t>
      </w:r>
    </w:p>
    <w:p w14:paraId="7E7C5E5F" w14:textId="77777777" w:rsidR="00297ADF" w:rsidRPr="00297ADF" w:rsidRDefault="00297ADF" w:rsidP="00297ADF">
      <w:pPr>
        <w:jc w:val="both"/>
        <w:outlineLvl w:val="0"/>
        <w:rPr>
          <w:rFonts w:ascii="Arial" w:eastAsia="Calibri" w:hAnsi="Arial" w:cs="Arial"/>
          <w:sz w:val="20"/>
          <w:szCs w:val="20"/>
        </w:rPr>
      </w:pPr>
    </w:p>
    <w:p w14:paraId="043D6737"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Representa el 0.3 % del total del pasivo no circulante.</w:t>
      </w:r>
    </w:p>
    <w:p w14:paraId="0DF4DADF"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lastRenderedPageBreak/>
        <w:drawing>
          <wp:inline distT="0" distB="0" distL="0" distR="0" wp14:anchorId="34303C25" wp14:editId="39801B2D">
            <wp:extent cx="3725545" cy="1388745"/>
            <wp:effectExtent l="0" t="0" r="8255" b="190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25545" cy="1388745"/>
                    </a:xfrm>
                    <a:prstGeom prst="rect">
                      <a:avLst/>
                    </a:prstGeom>
                    <a:noFill/>
                    <a:ln>
                      <a:noFill/>
                    </a:ln>
                  </pic:spPr>
                </pic:pic>
              </a:graphicData>
            </a:graphic>
          </wp:inline>
        </w:drawing>
      </w:r>
    </w:p>
    <w:p w14:paraId="057D573C" w14:textId="77777777" w:rsidR="00297ADF" w:rsidRPr="00297ADF" w:rsidRDefault="00297ADF" w:rsidP="00297ADF">
      <w:pPr>
        <w:jc w:val="both"/>
        <w:outlineLvl w:val="0"/>
        <w:rPr>
          <w:rFonts w:ascii="Arial" w:eastAsia="Calibri" w:hAnsi="Arial" w:cs="Arial"/>
          <w:sz w:val="20"/>
          <w:szCs w:val="20"/>
        </w:rPr>
      </w:pPr>
    </w:p>
    <w:p w14:paraId="34885172" w14:textId="77777777" w:rsidR="00297ADF" w:rsidRPr="00297ADF" w:rsidRDefault="00297ADF" w:rsidP="00297ADF">
      <w:pPr>
        <w:jc w:val="both"/>
        <w:outlineLvl w:val="0"/>
        <w:rPr>
          <w:rFonts w:ascii="Arial" w:eastAsia="Calibri" w:hAnsi="Arial" w:cs="Arial"/>
          <w:sz w:val="20"/>
          <w:szCs w:val="20"/>
        </w:rPr>
      </w:pPr>
    </w:p>
    <w:p w14:paraId="6CA9422D" w14:textId="77777777" w:rsidR="00297ADF" w:rsidRPr="00297ADF" w:rsidRDefault="00297ADF" w:rsidP="00297ADF">
      <w:pPr>
        <w:numPr>
          <w:ilvl w:val="1"/>
          <w:numId w:val="0"/>
        </w:numPr>
        <w:jc w:val="both"/>
        <w:rPr>
          <w:rFonts w:ascii="Arial" w:eastAsia="Times New Roman" w:hAnsi="Arial" w:cs="Times New Roman"/>
          <w:b/>
          <w:sz w:val="20"/>
        </w:rPr>
      </w:pPr>
      <w:bookmarkStart w:id="1" w:name="_Hlk129620451"/>
      <w:r w:rsidRPr="00297ADF">
        <w:rPr>
          <w:rFonts w:ascii="Arial" w:eastAsia="Times New Roman" w:hAnsi="Arial" w:cs="Times New Roman"/>
          <w:b/>
          <w:sz w:val="20"/>
        </w:rPr>
        <w:t>Notas al estado de variación en la hacienda pública</w:t>
      </w:r>
    </w:p>
    <w:p w14:paraId="345CA84B" w14:textId="77777777" w:rsidR="00297ADF" w:rsidRPr="00297ADF" w:rsidRDefault="00297ADF" w:rsidP="00297ADF">
      <w:pPr>
        <w:jc w:val="both"/>
        <w:outlineLvl w:val="0"/>
        <w:rPr>
          <w:rFonts w:ascii="Arial" w:eastAsia="Times New Roman" w:hAnsi="Arial" w:cs="Arial"/>
          <w:sz w:val="20"/>
          <w:szCs w:val="20"/>
        </w:rPr>
      </w:pPr>
    </w:p>
    <w:p w14:paraId="61B1071B"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La hacienda pública representa el importe de los bienes y derechos que son propiedad del Gobierno del estado de Chiapas, dicho importe es modificado principalmente por el resultado positivo obtenido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 el cual asciende a $ 12,955,982,516 pesos. Las variaciones representan la disponibilidad para la continuidad de obras en proceso, de la misma manera, es afectado por el resultado derivado del registro de operaciones de ejercicios anteriores por reintegros, devoluciones, depuración y regularización de saldos, consumo de almacén, así como, gastos de fideicomisos no recuperables; a la fecha, la hacienda pública refleja un saldo de $ 61,620,162,304 pesos.</w:t>
      </w:r>
    </w:p>
    <w:p w14:paraId="5F6A8A0C" w14:textId="77777777" w:rsidR="00297ADF" w:rsidRPr="00297ADF" w:rsidRDefault="00297ADF" w:rsidP="00297ADF">
      <w:pPr>
        <w:jc w:val="both"/>
        <w:outlineLvl w:val="0"/>
        <w:rPr>
          <w:rFonts w:ascii="Arial" w:eastAsia="Times New Roman" w:hAnsi="Arial" w:cs="Arial"/>
          <w:sz w:val="20"/>
          <w:szCs w:val="20"/>
        </w:rPr>
      </w:pPr>
    </w:p>
    <w:p w14:paraId="153ED623" w14:textId="77777777" w:rsidR="00297ADF" w:rsidRPr="00297ADF" w:rsidRDefault="00297ADF" w:rsidP="00297ADF">
      <w:pPr>
        <w:jc w:val="both"/>
        <w:outlineLvl w:val="0"/>
        <w:rPr>
          <w:rFonts w:ascii="Arial" w:eastAsia="Times New Roman" w:hAnsi="Arial" w:cs="Arial"/>
          <w:sz w:val="20"/>
          <w:szCs w:val="20"/>
        </w:rPr>
      </w:pPr>
      <w:r w:rsidRPr="00297ADF">
        <w:rPr>
          <w:rFonts w:ascii="Arial" w:eastAsia="Times New Roman" w:hAnsi="Arial" w:cs="Arial"/>
          <w:sz w:val="20"/>
          <w:szCs w:val="20"/>
        </w:rPr>
        <w:t>Así también, es modificado por el aumento o disminución al patrimonio, derivado del registro de los incrementos o decrementos realizados al patrimonio estatal. A la fecha que se informa la modificación neta positiva al patrimonio es de $ 5,415,556,142 pesos.</w:t>
      </w:r>
    </w:p>
    <w:p w14:paraId="26A9C625" w14:textId="77777777" w:rsidR="00297ADF" w:rsidRPr="00297ADF" w:rsidRDefault="00297ADF" w:rsidP="00297ADF">
      <w:pPr>
        <w:jc w:val="both"/>
        <w:rPr>
          <w:rFonts w:ascii="Arial" w:eastAsia="Times New Roman" w:hAnsi="Arial" w:cs="Arial"/>
          <w:b/>
          <w:bCs/>
          <w:caps/>
          <w:sz w:val="20"/>
          <w:szCs w:val="20"/>
        </w:rPr>
      </w:pPr>
    </w:p>
    <w:p w14:paraId="5A235394"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Notas al estado de flujos de efectivo</w:t>
      </w:r>
    </w:p>
    <w:p w14:paraId="184A4250" w14:textId="77777777" w:rsidR="00297ADF" w:rsidRPr="00297ADF" w:rsidRDefault="00297ADF" w:rsidP="00297ADF">
      <w:pPr>
        <w:jc w:val="both"/>
        <w:outlineLvl w:val="0"/>
        <w:rPr>
          <w:rFonts w:ascii="Arial" w:eastAsia="Times New Roman" w:hAnsi="Arial" w:cs="Arial"/>
          <w:sz w:val="20"/>
          <w:szCs w:val="20"/>
        </w:rPr>
      </w:pPr>
    </w:p>
    <w:p w14:paraId="73DEBFF7" w14:textId="77777777" w:rsidR="00297ADF" w:rsidRPr="00297ADF" w:rsidRDefault="00297ADF" w:rsidP="00297ADF">
      <w:pPr>
        <w:tabs>
          <w:tab w:val="left" w:pos="6840"/>
        </w:tabs>
        <w:jc w:val="both"/>
        <w:outlineLvl w:val="0"/>
        <w:rPr>
          <w:rFonts w:ascii="Arial" w:eastAsia="Times New Roman" w:hAnsi="Arial" w:cs="Arial"/>
          <w:sz w:val="20"/>
          <w:szCs w:val="20"/>
        </w:rPr>
      </w:pPr>
      <w:r w:rsidRPr="00297ADF">
        <w:rPr>
          <w:rFonts w:ascii="Arial" w:eastAsia="Times New Roman" w:hAnsi="Arial" w:cs="Arial"/>
          <w:sz w:val="20"/>
          <w:szCs w:val="20"/>
        </w:rPr>
        <w:t>El estado de flujos de efectivo, muestra los flujos de efectivo del Gobierno del Estado, conformado por los elementos básicos: origen y aplicación de los recursos.</w:t>
      </w:r>
    </w:p>
    <w:p w14:paraId="43775CD1" w14:textId="77777777" w:rsidR="00297ADF" w:rsidRPr="00297ADF" w:rsidRDefault="00297ADF" w:rsidP="00297ADF">
      <w:pPr>
        <w:tabs>
          <w:tab w:val="left" w:pos="6840"/>
        </w:tabs>
        <w:jc w:val="both"/>
        <w:outlineLvl w:val="0"/>
        <w:rPr>
          <w:rFonts w:ascii="Arial" w:eastAsia="Times New Roman" w:hAnsi="Arial" w:cs="Arial"/>
          <w:sz w:val="20"/>
          <w:szCs w:val="20"/>
        </w:rPr>
      </w:pPr>
    </w:p>
    <w:p w14:paraId="5530A1F4" w14:textId="77777777" w:rsidR="00297ADF" w:rsidRPr="00297ADF" w:rsidRDefault="00297ADF" w:rsidP="00297ADF">
      <w:pPr>
        <w:tabs>
          <w:tab w:val="left" w:pos="6840"/>
        </w:tabs>
        <w:jc w:val="both"/>
        <w:outlineLvl w:val="0"/>
        <w:rPr>
          <w:rFonts w:ascii="Arial" w:eastAsia="Times New Roman" w:hAnsi="Arial" w:cs="Arial"/>
          <w:sz w:val="20"/>
          <w:szCs w:val="20"/>
        </w:rPr>
      </w:pPr>
      <w:r w:rsidRPr="00297ADF">
        <w:rPr>
          <w:rFonts w:ascii="Arial" w:eastAsia="Times New Roman" w:hAnsi="Arial" w:cs="Arial"/>
          <w:sz w:val="20"/>
          <w:szCs w:val="20"/>
        </w:rPr>
        <w:t>El incremento neto en el efectivo y equivalentes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 tiene un saldo de $ 2,070,449,879 pesos.</w:t>
      </w:r>
    </w:p>
    <w:p w14:paraId="45C1FA49" w14:textId="77777777" w:rsidR="00297ADF" w:rsidRPr="00297ADF" w:rsidRDefault="00297ADF" w:rsidP="00297ADF">
      <w:pPr>
        <w:tabs>
          <w:tab w:val="left" w:pos="6840"/>
        </w:tabs>
        <w:jc w:val="both"/>
        <w:outlineLvl w:val="0"/>
        <w:rPr>
          <w:rFonts w:ascii="Arial" w:eastAsia="Times New Roman" w:hAnsi="Arial" w:cs="Arial"/>
          <w:sz w:val="20"/>
          <w:szCs w:val="20"/>
        </w:rPr>
      </w:pPr>
    </w:p>
    <w:p w14:paraId="3DABAAE5"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Flujo de efectivo de las actividades de operación</w:t>
      </w:r>
    </w:p>
    <w:p w14:paraId="7DC7EE00" w14:textId="77777777" w:rsidR="00297ADF" w:rsidRPr="00297ADF" w:rsidRDefault="00297ADF" w:rsidP="00297ADF">
      <w:pPr>
        <w:tabs>
          <w:tab w:val="left" w:pos="6840"/>
        </w:tabs>
        <w:jc w:val="both"/>
        <w:outlineLvl w:val="0"/>
        <w:rPr>
          <w:rFonts w:ascii="Arial" w:eastAsia="Times New Roman" w:hAnsi="Arial" w:cs="Arial"/>
          <w:sz w:val="20"/>
          <w:szCs w:val="20"/>
        </w:rPr>
      </w:pPr>
    </w:p>
    <w:p w14:paraId="7A027BE5" w14:textId="77777777" w:rsidR="00297ADF" w:rsidRPr="00297ADF" w:rsidRDefault="00297ADF" w:rsidP="00297ADF">
      <w:pPr>
        <w:tabs>
          <w:tab w:val="left" w:pos="6840"/>
        </w:tabs>
        <w:jc w:val="both"/>
        <w:rPr>
          <w:rFonts w:ascii="Arial" w:eastAsia="Times New Roman" w:hAnsi="Arial" w:cs="Arial"/>
          <w:sz w:val="20"/>
          <w:szCs w:val="20"/>
        </w:rPr>
      </w:pPr>
      <w:r w:rsidRPr="00297ADF">
        <w:rPr>
          <w:rFonts w:ascii="Arial" w:eastAsia="Times New Roman" w:hAnsi="Arial" w:cs="Arial"/>
          <w:sz w:val="20"/>
          <w:szCs w:val="20"/>
        </w:rPr>
        <w:t>Durante el periodo que se informa, el Gobierno Estatal presentó ingresos de gestión por la cantidad de $ 33,112,548,996 pesos. El gasto de funcionamiento devengado por el periodo comprendido del 1 de enero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 xml:space="preserve">, asciende a $ 19,818,371,643 pesos, el cual representa un flujo neto positivo por actividades de operación por un importe de $ 13,294,177,353 pesos. </w:t>
      </w:r>
    </w:p>
    <w:p w14:paraId="4C57F0CF" w14:textId="77777777" w:rsidR="00297ADF" w:rsidRPr="00297ADF" w:rsidRDefault="00297ADF" w:rsidP="00297ADF">
      <w:pPr>
        <w:tabs>
          <w:tab w:val="left" w:pos="6840"/>
        </w:tabs>
        <w:jc w:val="both"/>
        <w:outlineLvl w:val="0"/>
        <w:rPr>
          <w:rFonts w:ascii="Arial" w:eastAsia="Times New Roman" w:hAnsi="Arial" w:cs="Arial"/>
          <w:sz w:val="20"/>
          <w:szCs w:val="20"/>
        </w:rPr>
      </w:pPr>
    </w:p>
    <w:p w14:paraId="64BE0F56"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Flujo de efectivo de las actividades de inversión</w:t>
      </w:r>
    </w:p>
    <w:p w14:paraId="6A5F43C9" w14:textId="77777777" w:rsidR="00297ADF" w:rsidRPr="00297ADF" w:rsidRDefault="00297ADF" w:rsidP="00297ADF">
      <w:pPr>
        <w:tabs>
          <w:tab w:val="left" w:pos="6840"/>
        </w:tabs>
        <w:jc w:val="both"/>
        <w:outlineLvl w:val="0"/>
        <w:rPr>
          <w:rFonts w:ascii="Arial" w:eastAsia="Times New Roman" w:hAnsi="Arial" w:cs="Arial"/>
          <w:sz w:val="20"/>
          <w:szCs w:val="20"/>
        </w:rPr>
      </w:pPr>
    </w:p>
    <w:p w14:paraId="63B86549" w14:textId="77777777" w:rsidR="00297ADF" w:rsidRPr="00297ADF" w:rsidRDefault="00297ADF" w:rsidP="00297ADF">
      <w:pPr>
        <w:tabs>
          <w:tab w:val="left" w:pos="6840"/>
        </w:tabs>
        <w:jc w:val="both"/>
        <w:rPr>
          <w:rFonts w:ascii="Arial" w:eastAsia="Times New Roman" w:hAnsi="Arial" w:cs="Arial"/>
          <w:sz w:val="20"/>
          <w:szCs w:val="20"/>
        </w:rPr>
      </w:pPr>
      <w:r w:rsidRPr="00297ADF">
        <w:rPr>
          <w:rFonts w:ascii="Arial" w:eastAsia="Times New Roman" w:hAnsi="Arial" w:cs="Arial"/>
          <w:sz w:val="20"/>
          <w:szCs w:val="20"/>
        </w:rPr>
        <w:t>Durante el periodo que se informa, el Gobierno Estatal reflejó ingresos de inversión por la cantidad de $ 41,159,271,826 pesos. El gasto de inversión devengado por el periodo comprendido del 1 de enero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 xml:space="preserve">, asciende a $ 50,880,365,036 pesos, el cual refleja un flujo neto a la baja por actividades de inversión por un importe de $ 9,721,093,210 pesos. </w:t>
      </w:r>
    </w:p>
    <w:p w14:paraId="3412979C" w14:textId="77777777" w:rsidR="00297ADF" w:rsidRPr="00297ADF" w:rsidRDefault="00297ADF" w:rsidP="00297ADF">
      <w:pPr>
        <w:tabs>
          <w:tab w:val="left" w:pos="6840"/>
        </w:tabs>
        <w:jc w:val="both"/>
        <w:rPr>
          <w:rFonts w:ascii="Arial" w:eastAsia="Times New Roman" w:hAnsi="Arial" w:cs="Arial"/>
          <w:sz w:val="20"/>
          <w:szCs w:val="20"/>
        </w:rPr>
      </w:pPr>
    </w:p>
    <w:p w14:paraId="484EF956"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Flujo de efectivo de las actividades de financiamiento</w:t>
      </w:r>
    </w:p>
    <w:p w14:paraId="18C044E4" w14:textId="77777777" w:rsidR="00297ADF" w:rsidRPr="00297ADF" w:rsidRDefault="00297ADF" w:rsidP="00297ADF">
      <w:pPr>
        <w:tabs>
          <w:tab w:val="left" w:pos="6840"/>
        </w:tabs>
        <w:jc w:val="both"/>
        <w:outlineLvl w:val="0"/>
        <w:rPr>
          <w:rFonts w:ascii="Arial" w:eastAsia="Times New Roman" w:hAnsi="Arial" w:cs="Arial"/>
          <w:sz w:val="20"/>
          <w:szCs w:val="20"/>
        </w:rPr>
      </w:pPr>
    </w:p>
    <w:p w14:paraId="231FA0D8" w14:textId="53CF0667" w:rsidR="00297ADF" w:rsidRPr="00297ADF" w:rsidRDefault="00297ADF" w:rsidP="00297ADF">
      <w:pPr>
        <w:tabs>
          <w:tab w:val="left" w:pos="6840"/>
        </w:tabs>
        <w:jc w:val="both"/>
        <w:rPr>
          <w:rFonts w:ascii="Arial" w:eastAsia="Times New Roman" w:hAnsi="Arial" w:cs="Arial"/>
          <w:sz w:val="20"/>
          <w:szCs w:val="20"/>
        </w:rPr>
      </w:pPr>
      <w:r w:rsidRPr="00297ADF">
        <w:rPr>
          <w:rFonts w:ascii="Arial" w:eastAsia="Times New Roman" w:hAnsi="Arial" w:cs="Arial"/>
          <w:sz w:val="20"/>
          <w:szCs w:val="20"/>
        </w:rPr>
        <w:t>Durante el periodo que se informa, el Gobierno Estatal reflejó actividades de financiamiento por la cantidad de $ 369,575,990 pesos. La aplicación por actividades de financiamiento por el periodo comprendido del 1 de enero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 xml:space="preserve">, asciende a $ 1,872,210,254 pesos, el cual representa un flujo neto negativo por actividades de financiamiento por un importe de $ 1,502,634,264 pesos. </w:t>
      </w:r>
    </w:p>
    <w:p w14:paraId="0F6A32EC" w14:textId="77777777" w:rsidR="00297ADF" w:rsidRPr="00297ADF" w:rsidRDefault="00297ADF" w:rsidP="00297ADF">
      <w:pPr>
        <w:tabs>
          <w:tab w:val="left" w:pos="6840"/>
        </w:tabs>
        <w:jc w:val="both"/>
        <w:outlineLvl w:val="0"/>
        <w:rPr>
          <w:rFonts w:ascii="Arial" w:eastAsia="Times New Roman" w:hAnsi="Arial" w:cs="Arial"/>
          <w:sz w:val="20"/>
          <w:szCs w:val="20"/>
        </w:rPr>
      </w:pPr>
    </w:p>
    <w:p w14:paraId="783040E7"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Efectivo y equivalentes al efectivo al final del ejercicio</w:t>
      </w:r>
    </w:p>
    <w:p w14:paraId="6E36CE75" w14:textId="77777777" w:rsidR="00297ADF" w:rsidRPr="00297ADF" w:rsidRDefault="00297ADF" w:rsidP="00297ADF">
      <w:pPr>
        <w:tabs>
          <w:tab w:val="left" w:pos="6840"/>
        </w:tabs>
        <w:jc w:val="both"/>
        <w:outlineLvl w:val="0"/>
        <w:rPr>
          <w:rFonts w:ascii="Arial" w:eastAsia="Times New Roman" w:hAnsi="Arial" w:cs="Arial"/>
          <w:sz w:val="20"/>
          <w:szCs w:val="20"/>
        </w:rPr>
      </w:pPr>
    </w:p>
    <w:p w14:paraId="479B581D" w14:textId="77777777" w:rsidR="00297ADF" w:rsidRPr="00297ADF" w:rsidRDefault="00297ADF" w:rsidP="00297ADF">
      <w:pPr>
        <w:spacing w:line="100" w:lineRule="atLeast"/>
        <w:jc w:val="both"/>
        <w:rPr>
          <w:rFonts w:ascii="Arial" w:eastAsia="Times New Roman" w:hAnsi="Arial" w:cs="Arial"/>
          <w:sz w:val="20"/>
          <w:szCs w:val="20"/>
        </w:rPr>
      </w:pPr>
      <w:r w:rsidRPr="00297ADF">
        <w:rPr>
          <w:rFonts w:ascii="Arial" w:eastAsia="Times New Roman" w:hAnsi="Arial" w:cs="Arial"/>
          <w:sz w:val="20"/>
          <w:szCs w:val="20"/>
        </w:rPr>
        <w:t>Las cifras del efectivo y equivalentes al efectivo, al final del ejercicio que figuran en la última parte del estado de flujos de efectivo del Gobierno del Estado es el siguiente:</w:t>
      </w:r>
    </w:p>
    <w:p w14:paraId="2D9022E2" w14:textId="77777777" w:rsidR="00297ADF" w:rsidRPr="00297ADF" w:rsidRDefault="00297ADF" w:rsidP="00297ADF">
      <w:pPr>
        <w:spacing w:line="100" w:lineRule="atLeast"/>
        <w:jc w:val="both"/>
        <w:rPr>
          <w:rFonts w:ascii="Arial" w:eastAsia="Times New Roman" w:hAnsi="Arial" w:cs="Arial"/>
          <w:sz w:val="20"/>
          <w:szCs w:val="20"/>
        </w:rPr>
      </w:pPr>
    </w:p>
    <w:p w14:paraId="0D97037C" w14:textId="77777777" w:rsidR="00297ADF" w:rsidRPr="00297ADF" w:rsidRDefault="00297ADF" w:rsidP="00297ADF">
      <w:pPr>
        <w:tabs>
          <w:tab w:val="left" w:pos="6840"/>
        </w:tabs>
        <w:jc w:val="center"/>
        <w:outlineLvl w:val="0"/>
        <w:rPr>
          <w:rFonts w:ascii="Arial" w:eastAsia="Times New Roman" w:hAnsi="Arial" w:cs="Arial"/>
          <w:sz w:val="20"/>
          <w:szCs w:val="20"/>
        </w:rPr>
      </w:pPr>
      <w:r w:rsidRPr="00297ADF">
        <w:rPr>
          <w:noProof/>
          <w:lang w:eastAsia="es-MX"/>
        </w:rPr>
        <w:lastRenderedPageBreak/>
        <w:drawing>
          <wp:inline distT="0" distB="0" distL="0" distR="0" wp14:anchorId="029F6EFC" wp14:editId="397160A9">
            <wp:extent cx="4157345" cy="13462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57345" cy="1346200"/>
                    </a:xfrm>
                    <a:prstGeom prst="rect">
                      <a:avLst/>
                    </a:prstGeom>
                    <a:noFill/>
                    <a:ln>
                      <a:noFill/>
                    </a:ln>
                  </pic:spPr>
                </pic:pic>
              </a:graphicData>
            </a:graphic>
          </wp:inline>
        </w:drawing>
      </w:r>
    </w:p>
    <w:p w14:paraId="756D552E" w14:textId="77777777" w:rsidR="00297ADF" w:rsidRPr="00297ADF" w:rsidRDefault="00297ADF" w:rsidP="00297ADF">
      <w:pPr>
        <w:tabs>
          <w:tab w:val="left" w:pos="6840"/>
        </w:tabs>
        <w:jc w:val="both"/>
        <w:outlineLvl w:val="0"/>
        <w:rPr>
          <w:rFonts w:ascii="Arial" w:eastAsia="Times New Roman" w:hAnsi="Arial" w:cs="Arial"/>
          <w:sz w:val="20"/>
          <w:szCs w:val="20"/>
        </w:rPr>
      </w:pPr>
    </w:p>
    <w:p w14:paraId="7E69BB32" w14:textId="77777777" w:rsidR="00297ADF" w:rsidRPr="00297ADF" w:rsidRDefault="00297ADF" w:rsidP="00297ADF">
      <w:pPr>
        <w:tabs>
          <w:tab w:val="left" w:pos="6840"/>
        </w:tabs>
        <w:jc w:val="both"/>
        <w:outlineLvl w:val="0"/>
        <w:rPr>
          <w:rFonts w:ascii="Arial" w:eastAsia="Times New Roman" w:hAnsi="Arial" w:cs="Arial"/>
          <w:sz w:val="20"/>
          <w:szCs w:val="20"/>
        </w:rPr>
      </w:pPr>
    </w:p>
    <w:p w14:paraId="393F662D"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Efectivo y equivalentes</w:t>
      </w:r>
    </w:p>
    <w:p w14:paraId="503F8D4F" w14:textId="77777777" w:rsidR="00297ADF" w:rsidRPr="00297ADF" w:rsidRDefault="00297ADF" w:rsidP="00297ADF">
      <w:pPr>
        <w:spacing w:line="100" w:lineRule="atLeast"/>
        <w:jc w:val="both"/>
        <w:rPr>
          <w:rFonts w:ascii="Arial" w:eastAsia="Times New Roman" w:hAnsi="Arial" w:cs="Arial"/>
          <w:sz w:val="20"/>
          <w:szCs w:val="20"/>
        </w:rPr>
      </w:pPr>
    </w:p>
    <w:p w14:paraId="311CFC0C" w14:textId="77777777" w:rsidR="00297ADF" w:rsidRPr="00297ADF" w:rsidRDefault="00297ADF" w:rsidP="00297ADF">
      <w:pPr>
        <w:spacing w:line="100" w:lineRule="atLeast"/>
        <w:jc w:val="both"/>
        <w:rPr>
          <w:rFonts w:ascii="Arial" w:eastAsia="Times New Roman" w:hAnsi="Arial" w:cs="Arial"/>
          <w:sz w:val="20"/>
          <w:szCs w:val="20"/>
        </w:rPr>
      </w:pPr>
      <w:r w:rsidRPr="00297ADF">
        <w:rPr>
          <w:rFonts w:ascii="Arial" w:eastAsia="Times New Roman" w:hAnsi="Arial" w:cs="Arial"/>
          <w:sz w:val="20"/>
          <w:szCs w:val="20"/>
        </w:rPr>
        <w:t>El análisis de los saldos inicial y final del efectivo y equivalentes al efectivo, al final del ejercicio del estado de flujos de efectivo, respecto a la composición del rubro de efectivo y equivalentes es como sigue:</w:t>
      </w:r>
    </w:p>
    <w:p w14:paraId="3FFE24DD" w14:textId="77777777" w:rsidR="00297ADF" w:rsidRPr="00297ADF" w:rsidRDefault="00297ADF" w:rsidP="00297ADF">
      <w:pPr>
        <w:tabs>
          <w:tab w:val="left" w:pos="6840"/>
        </w:tabs>
        <w:jc w:val="both"/>
        <w:outlineLvl w:val="0"/>
        <w:rPr>
          <w:rFonts w:ascii="Arial" w:eastAsia="Times New Roman" w:hAnsi="Arial" w:cs="Arial"/>
          <w:sz w:val="20"/>
          <w:szCs w:val="20"/>
        </w:rPr>
      </w:pPr>
    </w:p>
    <w:p w14:paraId="13D8F739" w14:textId="77777777" w:rsidR="00297ADF" w:rsidRPr="00297ADF" w:rsidRDefault="00297ADF" w:rsidP="00297ADF">
      <w:pPr>
        <w:tabs>
          <w:tab w:val="left" w:pos="6840"/>
        </w:tabs>
        <w:jc w:val="center"/>
        <w:outlineLvl w:val="0"/>
        <w:rPr>
          <w:rFonts w:ascii="Arial" w:eastAsia="Times New Roman" w:hAnsi="Arial" w:cs="Arial"/>
          <w:sz w:val="20"/>
          <w:szCs w:val="20"/>
        </w:rPr>
      </w:pPr>
      <w:r w:rsidRPr="00297ADF">
        <w:rPr>
          <w:noProof/>
          <w:lang w:eastAsia="es-MX"/>
        </w:rPr>
        <w:drawing>
          <wp:inline distT="0" distB="0" distL="0" distR="0" wp14:anchorId="4D960631" wp14:editId="0F786BA2">
            <wp:extent cx="4157345" cy="286194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57345" cy="2861945"/>
                    </a:xfrm>
                    <a:prstGeom prst="rect">
                      <a:avLst/>
                    </a:prstGeom>
                    <a:noFill/>
                    <a:ln>
                      <a:noFill/>
                    </a:ln>
                  </pic:spPr>
                </pic:pic>
              </a:graphicData>
            </a:graphic>
          </wp:inline>
        </w:drawing>
      </w:r>
    </w:p>
    <w:p w14:paraId="0590FD62" w14:textId="77777777" w:rsidR="00297ADF" w:rsidRPr="00297ADF" w:rsidRDefault="00297ADF" w:rsidP="00297ADF">
      <w:pPr>
        <w:jc w:val="both"/>
        <w:rPr>
          <w:rFonts w:ascii="Arial" w:eastAsia="Times New Roman" w:hAnsi="Arial" w:cs="Times New Roman"/>
          <w:b/>
          <w:sz w:val="20"/>
          <w:szCs w:val="24"/>
          <w:lang w:val="es-ES" w:eastAsia="es-ES"/>
        </w:rPr>
      </w:pPr>
    </w:p>
    <w:p w14:paraId="26554A81" w14:textId="77777777" w:rsidR="00297ADF" w:rsidRPr="00297ADF" w:rsidRDefault="00297ADF" w:rsidP="00297ADF">
      <w:pPr>
        <w:jc w:val="both"/>
        <w:rPr>
          <w:rFonts w:ascii="Arial" w:eastAsia="Times New Roman" w:hAnsi="Arial" w:cs="Times New Roman"/>
          <w:b/>
          <w:sz w:val="20"/>
          <w:szCs w:val="24"/>
          <w:lang w:val="es-ES" w:eastAsia="es-ES"/>
        </w:rPr>
      </w:pPr>
    </w:p>
    <w:p w14:paraId="31180FA8"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Adquisiciones de las actividades de inversión efectivamente pagadas</w:t>
      </w:r>
    </w:p>
    <w:p w14:paraId="031D5CE1" w14:textId="77777777" w:rsidR="00297ADF" w:rsidRPr="00297ADF" w:rsidRDefault="00297ADF" w:rsidP="00297ADF">
      <w:pPr>
        <w:spacing w:line="100" w:lineRule="atLeast"/>
        <w:jc w:val="both"/>
        <w:rPr>
          <w:rFonts w:ascii="Arial" w:eastAsia="Times New Roman" w:hAnsi="Arial" w:cs="Arial"/>
          <w:sz w:val="20"/>
          <w:szCs w:val="20"/>
        </w:rPr>
      </w:pPr>
    </w:p>
    <w:p w14:paraId="1880C3BC" w14:textId="77777777" w:rsidR="00297ADF" w:rsidRPr="00297ADF" w:rsidRDefault="00297ADF" w:rsidP="00297ADF">
      <w:pPr>
        <w:spacing w:line="100" w:lineRule="atLeast"/>
        <w:jc w:val="both"/>
        <w:rPr>
          <w:rFonts w:ascii="Arial" w:eastAsia="Times New Roman" w:hAnsi="Arial" w:cs="Arial"/>
          <w:sz w:val="20"/>
          <w:szCs w:val="20"/>
        </w:rPr>
      </w:pPr>
      <w:r w:rsidRPr="00297ADF">
        <w:rPr>
          <w:rFonts w:ascii="Arial" w:eastAsia="Times New Roman" w:hAnsi="Arial" w:cs="Arial"/>
          <w:sz w:val="20"/>
          <w:szCs w:val="20"/>
        </w:rPr>
        <w:t>Al 31 de marzo de 2024, se realizaron adquisiciones de las actividades de inversión efectivamente pagadas, respecto del apartado de aplicación, mismas que a continuación de describen:</w:t>
      </w:r>
    </w:p>
    <w:p w14:paraId="1EE1CC48" w14:textId="77777777" w:rsidR="00297ADF" w:rsidRPr="00297ADF" w:rsidRDefault="00297ADF" w:rsidP="00297ADF">
      <w:pPr>
        <w:numPr>
          <w:ilvl w:val="1"/>
          <w:numId w:val="0"/>
        </w:numPr>
        <w:jc w:val="both"/>
        <w:rPr>
          <w:rFonts w:ascii="Arial" w:eastAsia="Times New Roman" w:hAnsi="Arial" w:cs="Times New Roman"/>
          <w:b/>
          <w:sz w:val="20"/>
        </w:rPr>
      </w:pPr>
    </w:p>
    <w:p w14:paraId="5766AD7D" w14:textId="77777777" w:rsidR="00297ADF" w:rsidRPr="00297ADF" w:rsidRDefault="00297ADF" w:rsidP="00297ADF">
      <w:pPr>
        <w:numPr>
          <w:ilvl w:val="1"/>
          <w:numId w:val="0"/>
        </w:numPr>
        <w:jc w:val="both"/>
        <w:rPr>
          <w:rFonts w:ascii="Arial" w:eastAsia="Times New Roman" w:hAnsi="Arial" w:cs="Times New Roman"/>
          <w:b/>
          <w:sz w:val="20"/>
        </w:rPr>
      </w:pPr>
    </w:p>
    <w:p w14:paraId="191A6B41" w14:textId="77777777" w:rsidR="00297ADF" w:rsidRPr="00297ADF" w:rsidRDefault="00297ADF" w:rsidP="00297ADF">
      <w:pPr>
        <w:spacing w:after="160" w:line="259" w:lineRule="auto"/>
        <w:rPr>
          <w:rFonts w:ascii="Arial" w:eastAsia="Times New Roman" w:hAnsi="Arial" w:cs="Times New Roman"/>
          <w:b/>
          <w:sz w:val="20"/>
        </w:rPr>
      </w:pPr>
      <w:r w:rsidRPr="00297ADF">
        <w:rPr>
          <w:rFonts w:ascii="Arial" w:eastAsia="Times New Roman" w:hAnsi="Arial" w:cs="Times New Roman"/>
          <w:b/>
          <w:sz w:val="20"/>
        </w:rPr>
        <w:br w:type="page"/>
      </w:r>
    </w:p>
    <w:p w14:paraId="25916419" w14:textId="77777777" w:rsidR="00297ADF" w:rsidRPr="00297ADF" w:rsidRDefault="00297ADF" w:rsidP="00297ADF">
      <w:pPr>
        <w:numPr>
          <w:ilvl w:val="1"/>
          <w:numId w:val="0"/>
        </w:numPr>
        <w:jc w:val="center"/>
        <w:rPr>
          <w:rFonts w:ascii="Arial" w:eastAsia="Times New Roman" w:hAnsi="Arial" w:cs="Times New Roman"/>
          <w:b/>
          <w:sz w:val="20"/>
        </w:rPr>
      </w:pPr>
      <w:r w:rsidRPr="00297ADF">
        <w:rPr>
          <w:noProof/>
          <w:lang w:eastAsia="es-MX"/>
        </w:rPr>
        <w:lastRenderedPageBreak/>
        <w:drawing>
          <wp:inline distT="0" distB="0" distL="0" distR="0" wp14:anchorId="19C5D38F" wp14:editId="5551E725">
            <wp:extent cx="6331585" cy="415958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4159581"/>
                    </a:xfrm>
                    <a:prstGeom prst="rect">
                      <a:avLst/>
                    </a:prstGeom>
                    <a:noFill/>
                    <a:ln>
                      <a:noFill/>
                    </a:ln>
                  </pic:spPr>
                </pic:pic>
              </a:graphicData>
            </a:graphic>
          </wp:inline>
        </w:drawing>
      </w:r>
    </w:p>
    <w:p w14:paraId="55B9D17F" w14:textId="77777777" w:rsidR="00297ADF" w:rsidRPr="00297ADF" w:rsidRDefault="00297ADF" w:rsidP="00297ADF">
      <w:pPr>
        <w:numPr>
          <w:ilvl w:val="1"/>
          <w:numId w:val="0"/>
        </w:numPr>
        <w:jc w:val="both"/>
        <w:rPr>
          <w:rFonts w:ascii="Arial" w:eastAsia="Times New Roman" w:hAnsi="Arial" w:cs="Times New Roman"/>
          <w:b/>
          <w:sz w:val="20"/>
        </w:rPr>
      </w:pPr>
    </w:p>
    <w:p w14:paraId="54A6DABD" w14:textId="77777777" w:rsidR="00297ADF" w:rsidRPr="00297ADF" w:rsidRDefault="00297ADF" w:rsidP="00297ADF">
      <w:pPr>
        <w:numPr>
          <w:ilvl w:val="1"/>
          <w:numId w:val="0"/>
        </w:numPr>
        <w:jc w:val="both"/>
        <w:rPr>
          <w:rFonts w:ascii="Arial" w:eastAsia="Times New Roman" w:hAnsi="Arial" w:cs="Times New Roman"/>
          <w:b/>
          <w:sz w:val="20"/>
        </w:rPr>
      </w:pPr>
    </w:p>
    <w:p w14:paraId="20226A31"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Conciliación de flujos de efectivo netos</w:t>
      </w:r>
    </w:p>
    <w:p w14:paraId="635091FF" w14:textId="77777777" w:rsidR="00297ADF" w:rsidRPr="00297ADF" w:rsidRDefault="00297ADF" w:rsidP="00297ADF">
      <w:pPr>
        <w:jc w:val="both"/>
        <w:rPr>
          <w:rFonts w:ascii="Arial" w:eastAsia="Times New Roman" w:hAnsi="Arial" w:cs="Arial"/>
          <w:sz w:val="20"/>
          <w:szCs w:val="20"/>
        </w:rPr>
      </w:pPr>
    </w:p>
    <w:p w14:paraId="24FDC652" w14:textId="77777777" w:rsidR="00297ADF" w:rsidRPr="00297ADF" w:rsidRDefault="00297ADF" w:rsidP="00297ADF">
      <w:pPr>
        <w:jc w:val="both"/>
        <w:rPr>
          <w:rFonts w:ascii="Arial" w:eastAsia="Times New Roman" w:hAnsi="Arial" w:cs="Arial"/>
          <w:sz w:val="20"/>
          <w:szCs w:val="20"/>
        </w:rPr>
      </w:pPr>
      <w:r w:rsidRPr="00297ADF">
        <w:rPr>
          <w:rFonts w:ascii="Arial" w:eastAsia="Times New Roman" w:hAnsi="Arial" w:cs="Arial"/>
          <w:sz w:val="20"/>
          <w:szCs w:val="20"/>
        </w:rPr>
        <w:t>A continuación, se presenta la conciliación de los flujos de efectivo netos de las actividades de operación y saldos de resultados del ejercicio (ahorro/desahorro):</w:t>
      </w:r>
    </w:p>
    <w:p w14:paraId="36ADF3BC" w14:textId="77777777" w:rsidR="00297ADF" w:rsidRPr="00297ADF" w:rsidRDefault="00297ADF" w:rsidP="00297ADF">
      <w:pPr>
        <w:jc w:val="both"/>
        <w:rPr>
          <w:rFonts w:ascii="Arial" w:eastAsia="Times New Roman" w:hAnsi="Arial" w:cs="Arial"/>
          <w:sz w:val="20"/>
          <w:szCs w:val="20"/>
        </w:rPr>
      </w:pPr>
    </w:p>
    <w:p w14:paraId="4A6C32C3" w14:textId="77777777" w:rsidR="00297ADF" w:rsidRPr="00297ADF" w:rsidRDefault="00297ADF" w:rsidP="00297ADF">
      <w:pPr>
        <w:jc w:val="center"/>
        <w:rPr>
          <w:rFonts w:ascii="Arial" w:eastAsia="Times New Roman" w:hAnsi="Arial" w:cs="Arial"/>
          <w:sz w:val="20"/>
          <w:szCs w:val="20"/>
        </w:rPr>
      </w:pPr>
      <w:r w:rsidRPr="00297ADF">
        <w:rPr>
          <w:noProof/>
          <w:lang w:eastAsia="es-MX"/>
        </w:rPr>
        <w:drawing>
          <wp:inline distT="0" distB="0" distL="0" distR="0" wp14:anchorId="421D5A3F" wp14:editId="7B1BFAA0">
            <wp:extent cx="6255385" cy="231711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55385" cy="2317115"/>
                    </a:xfrm>
                    <a:prstGeom prst="rect">
                      <a:avLst/>
                    </a:prstGeom>
                    <a:noFill/>
                    <a:ln>
                      <a:noFill/>
                    </a:ln>
                  </pic:spPr>
                </pic:pic>
              </a:graphicData>
            </a:graphic>
          </wp:inline>
        </w:drawing>
      </w:r>
    </w:p>
    <w:p w14:paraId="33E436E9" w14:textId="77777777" w:rsidR="00297ADF" w:rsidRPr="00297ADF" w:rsidRDefault="00297ADF" w:rsidP="00297ADF">
      <w:pPr>
        <w:numPr>
          <w:ilvl w:val="1"/>
          <w:numId w:val="0"/>
        </w:numPr>
        <w:jc w:val="both"/>
        <w:rPr>
          <w:rFonts w:ascii="Arial" w:eastAsia="Times New Roman" w:hAnsi="Arial" w:cs="Times New Roman"/>
          <w:b/>
          <w:sz w:val="20"/>
        </w:rPr>
      </w:pPr>
    </w:p>
    <w:p w14:paraId="551B5AD7" w14:textId="77777777" w:rsidR="00297ADF" w:rsidRPr="00297ADF" w:rsidRDefault="00297ADF" w:rsidP="00297ADF">
      <w:pPr>
        <w:numPr>
          <w:ilvl w:val="1"/>
          <w:numId w:val="0"/>
        </w:numPr>
        <w:jc w:val="both"/>
        <w:rPr>
          <w:rFonts w:ascii="Arial" w:eastAsia="Times New Roman" w:hAnsi="Arial" w:cs="Times New Roman"/>
          <w:b/>
          <w:sz w:val="20"/>
        </w:rPr>
      </w:pPr>
    </w:p>
    <w:p w14:paraId="1578CDEA" w14:textId="77777777" w:rsidR="00297ADF" w:rsidRPr="00297ADF" w:rsidRDefault="00297ADF" w:rsidP="00297ADF">
      <w:pPr>
        <w:numPr>
          <w:ilvl w:val="1"/>
          <w:numId w:val="0"/>
        </w:numPr>
        <w:jc w:val="both"/>
        <w:rPr>
          <w:rFonts w:ascii="Arial" w:eastAsia="Times New Roman" w:hAnsi="Arial" w:cs="Times New Roman"/>
          <w:b/>
          <w:sz w:val="20"/>
        </w:rPr>
      </w:pPr>
    </w:p>
    <w:p w14:paraId="48CAB284" w14:textId="77777777" w:rsidR="000346E4" w:rsidRDefault="000346E4">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56803B62" w14:textId="483588B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Conciliación entre los ingresos presupuestarios y contables, así como entre los egresos presupuestarios y los gastos contables</w:t>
      </w:r>
    </w:p>
    <w:p w14:paraId="10731358" w14:textId="77777777" w:rsidR="00297ADF" w:rsidRPr="00297ADF" w:rsidRDefault="00297ADF" w:rsidP="00297ADF">
      <w:pPr>
        <w:jc w:val="both"/>
        <w:rPr>
          <w:rFonts w:ascii="Arial" w:eastAsia="Times New Roman" w:hAnsi="Arial" w:cs="Arial"/>
          <w:sz w:val="20"/>
          <w:szCs w:val="20"/>
        </w:rPr>
      </w:pPr>
    </w:p>
    <w:p w14:paraId="29B9CA4C" w14:textId="77777777" w:rsidR="00297ADF" w:rsidRPr="00297ADF" w:rsidRDefault="00297ADF" w:rsidP="00297ADF">
      <w:pPr>
        <w:jc w:val="both"/>
        <w:rPr>
          <w:rFonts w:ascii="Arial" w:eastAsia="Times New Roman" w:hAnsi="Arial" w:cs="Arial"/>
          <w:sz w:val="20"/>
          <w:szCs w:val="20"/>
        </w:rPr>
      </w:pPr>
      <w:r w:rsidRPr="00297ADF">
        <w:rPr>
          <w:rFonts w:ascii="Arial" w:eastAsia="Times New Roman" w:hAnsi="Arial" w:cs="Arial"/>
          <w:sz w:val="20"/>
          <w:szCs w:val="20"/>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Gobierno Estatal, correspondiente del 1 de enero al 31 de marzo</w:t>
      </w:r>
      <w:r w:rsidRPr="00297ADF">
        <w:rPr>
          <w:rFonts w:ascii="Arial" w:eastAsia="Calibri" w:hAnsi="Arial" w:cs="Arial"/>
          <w:sz w:val="20"/>
          <w:szCs w:val="20"/>
        </w:rPr>
        <w:t xml:space="preserve"> de 2024</w:t>
      </w:r>
      <w:r w:rsidRPr="00297ADF">
        <w:rPr>
          <w:rFonts w:ascii="Arial" w:eastAsia="Times New Roman" w:hAnsi="Arial" w:cs="Arial"/>
          <w:sz w:val="20"/>
          <w:szCs w:val="20"/>
        </w:rPr>
        <w:t>:</w:t>
      </w:r>
    </w:p>
    <w:p w14:paraId="57928958" w14:textId="77777777" w:rsidR="00297ADF" w:rsidRPr="00297ADF" w:rsidRDefault="00297ADF" w:rsidP="00297ADF">
      <w:pPr>
        <w:jc w:val="both"/>
        <w:rPr>
          <w:rFonts w:ascii="Arial" w:eastAsia="Times New Roman" w:hAnsi="Arial" w:cs="Arial"/>
          <w:sz w:val="20"/>
          <w:szCs w:val="20"/>
        </w:rPr>
      </w:pPr>
    </w:p>
    <w:p w14:paraId="2BABD69A" w14:textId="77777777" w:rsidR="00297ADF" w:rsidRPr="00297ADF" w:rsidRDefault="00297ADF" w:rsidP="00297ADF">
      <w:pPr>
        <w:jc w:val="center"/>
        <w:outlineLvl w:val="0"/>
        <w:rPr>
          <w:rFonts w:ascii="Arial" w:eastAsia="Times New Roman" w:hAnsi="Arial" w:cs="Arial"/>
          <w:sz w:val="20"/>
          <w:szCs w:val="20"/>
        </w:rPr>
      </w:pPr>
      <w:r w:rsidRPr="00297ADF">
        <w:rPr>
          <w:noProof/>
          <w:lang w:eastAsia="es-MX"/>
        </w:rPr>
        <w:drawing>
          <wp:inline distT="0" distB="0" distL="0" distR="0" wp14:anchorId="7B6AC0DC" wp14:editId="4975B820">
            <wp:extent cx="6331585" cy="3576841"/>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3576841"/>
                    </a:xfrm>
                    <a:prstGeom prst="rect">
                      <a:avLst/>
                    </a:prstGeom>
                    <a:noFill/>
                    <a:ln>
                      <a:noFill/>
                    </a:ln>
                  </pic:spPr>
                </pic:pic>
              </a:graphicData>
            </a:graphic>
          </wp:inline>
        </w:drawing>
      </w:r>
    </w:p>
    <w:p w14:paraId="7A549F6B" w14:textId="77777777" w:rsidR="00297ADF" w:rsidRPr="00297ADF" w:rsidRDefault="00297ADF" w:rsidP="00297ADF">
      <w:pPr>
        <w:jc w:val="center"/>
        <w:outlineLvl w:val="0"/>
        <w:rPr>
          <w:rFonts w:ascii="Arial" w:eastAsia="Times New Roman" w:hAnsi="Arial" w:cs="Arial"/>
          <w:noProof/>
          <w:sz w:val="20"/>
          <w:szCs w:val="20"/>
        </w:rPr>
      </w:pPr>
      <w:r w:rsidRPr="00297ADF">
        <w:rPr>
          <w:noProof/>
          <w:lang w:eastAsia="es-MX"/>
        </w:rPr>
        <w:lastRenderedPageBreak/>
        <w:drawing>
          <wp:inline distT="0" distB="0" distL="0" distR="0" wp14:anchorId="4425755F" wp14:editId="6C149DDE">
            <wp:extent cx="6331585" cy="690046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6900465"/>
                    </a:xfrm>
                    <a:prstGeom prst="rect">
                      <a:avLst/>
                    </a:prstGeom>
                    <a:noFill/>
                    <a:ln>
                      <a:noFill/>
                    </a:ln>
                  </pic:spPr>
                </pic:pic>
              </a:graphicData>
            </a:graphic>
          </wp:inline>
        </w:drawing>
      </w:r>
    </w:p>
    <w:p w14:paraId="1B74C508" w14:textId="77777777" w:rsidR="00297ADF" w:rsidRPr="00297ADF" w:rsidRDefault="00297ADF" w:rsidP="00297ADF">
      <w:pPr>
        <w:jc w:val="both"/>
        <w:outlineLvl w:val="0"/>
        <w:rPr>
          <w:rFonts w:ascii="Arial" w:eastAsia="Times New Roman" w:hAnsi="Arial" w:cs="Arial"/>
          <w:sz w:val="20"/>
          <w:szCs w:val="20"/>
        </w:rPr>
      </w:pPr>
    </w:p>
    <w:p w14:paraId="69B792CE" w14:textId="77777777" w:rsidR="00297ADF" w:rsidRPr="00297ADF" w:rsidRDefault="00297ADF" w:rsidP="00297ADF">
      <w:pPr>
        <w:jc w:val="both"/>
        <w:outlineLvl w:val="0"/>
        <w:rPr>
          <w:rFonts w:ascii="Arial" w:eastAsia="Times New Roman" w:hAnsi="Arial" w:cs="Arial"/>
          <w:sz w:val="20"/>
          <w:szCs w:val="20"/>
        </w:rPr>
      </w:pPr>
    </w:p>
    <w:bookmarkEnd w:id="1"/>
    <w:p w14:paraId="4287CCF1" w14:textId="77777777" w:rsidR="00297ADF" w:rsidRPr="00297ADF" w:rsidRDefault="00297ADF" w:rsidP="00297ADF">
      <w:pPr>
        <w:jc w:val="both"/>
        <w:rPr>
          <w:rFonts w:ascii="Arial" w:eastAsia="Times New Roman" w:hAnsi="Arial" w:cs="Arial"/>
          <w:b/>
          <w:bCs/>
          <w:sz w:val="24"/>
          <w:szCs w:val="24"/>
          <w:lang w:val="es-ES" w:eastAsia="es-ES"/>
        </w:rPr>
      </w:pPr>
      <w:r w:rsidRPr="00297ADF">
        <w:rPr>
          <w:rFonts w:ascii="Arial" w:eastAsia="Times New Roman" w:hAnsi="Arial" w:cs="Arial"/>
          <w:b/>
          <w:bCs/>
          <w:sz w:val="24"/>
          <w:szCs w:val="24"/>
          <w:lang w:val="es-ES" w:eastAsia="es-ES"/>
        </w:rPr>
        <w:t>Notas de memoria (cuentas de orden)</w:t>
      </w:r>
    </w:p>
    <w:p w14:paraId="6ECE06CD" w14:textId="77777777" w:rsidR="00297ADF" w:rsidRPr="00297ADF" w:rsidRDefault="00297ADF" w:rsidP="00297ADF">
      <w:pPr>
        <w:jc w:val="both"/>
        <w:outlineLvl w:val="0"/>
        <w:rPr>
          <w:rFonts w:ascii="Arial" w:eastAsia="Calibri" w:hAnsi="Arial" w:cs="Arial"/>
          <w:bCs/>
          <w:sz w:val="20"/>
          <w:szCs w:val="20"/>
        </w:rPr>
      </w:pPr>
    </w:p>
    <w:p w14:paraId="70E7CAB9" w14:textId="77777777" w:rsidR="00297ADF" w:rsidRPr="00297ADF" w:rsidRDefault="00297ADF" w:rsidP="00297ADF">
      <w:pPr>
        <w:jc w:val="both"/>
        <w:outlineLvl w:val="0"/>
        <w:rPr>
          <w:rFonts w:ascii="Arial" w:eastAsia="Calibri" w:hAnsi="Arial" w:cs="Arial"/>
          <w:bCs/>
          <w:sz w:val="20"/>
          <w:szCs w:val="20"/>
        </w:rPr>
      </w:pPr>
      <w:r w:rsidRPr="00297ADF">
        <w:rPr>
          <w:rFonts w:ascii="Arial" w:eastAsia="Calibri" w:hAnsi="Arial" w:cs="Arial"/>
          <w:bCs/>
          <w:sz w:val="20"/>
          <w:szCs w:val="20"/>
        </w:rPr>
        <w:t>Atendiendo a lo establecido en la Ley General de Contabilidad Gubernamental, para efectos del registro y control, el Consejo Nacional de Armonización Contable ha determinado cuentas de orden contables, mismas que se presentan en el plan de cuentas.</w:t>
      </w:r>
    </w:p>
    <w:p w14:paraId="07591CE9" w14:textId="77777777" w:rsidR="00297ADF" w:rsidRPr="00297ADF" w:rsidRDefault="00297ADF" w:rsidP="00297ADF">
      <w:pPr>
        <w:jc w:val="both"/>
        <w:outlineLvl w:val="0"/>
        <w:rPr>
          <w:rFonts w:ascii="Arial" w:eastAsia="Calibri" w:hAnsi="Arial" w:cs="Arial"/>
          <w:bCs/>
          <w:sz w:val="20"/>
          <w:szCs w:val="20"/>
        </w:rPr>
      </w:pPr>
    </w:p>
    <w:p w14:paraId="00B6DA4F" w14:textId="77777777" w:rsidR="00297ADF" w:rsidRPr="00297ADF" w:rsidRDefault="00297ADF" w:rsidP="00297ADF">
      <w:pPr>
        <w:jc w:val="both"/>
        <w:outlineLvl w:val="0"/>
        <w:rPr>
          <w:rFonts w:ascii="Arial" w:eastAsia="Calibri" w:hAnsi="Arial" w:cs="Arial"/>
          <w:bCs/>
          <w:sz w:val="20"/>
          <w:szCs w:val="20"/>
        </w:rPr>
      </w:pPr>
      <w:r w:rsidRPr="00297ADF">
        <w:rPr>
          <w:rFonts w:ascii="Arial" w:eastAsia="Calibri" w:hAnsi="Arial" w:cs="Arial"/>
          <w:bCs/>
          <w:sz w:val="20"/>
          <w:szCs w:val="20"/>
        </w:rPr>
        <w:t xml:space="preserve">Las notas de memoria, representan los movimientos de valores que no afecten o modifiquen el balance del Gobierno Estatal, sin embargo, su incorporación en libros es necesaria con fines de recordatorio contable, de control y en general </w:t>
      </w:r>
      <w:r w:rsidRPr="00297ADF">
        <w:rPr>
          <w:rFonts w:ascii="Arial" w:eastAsia="Calibri" w:hAnsi="Arial" w:cs="Arial"/>
          <w:bCs/>
          <w:sz w:val="20"/>
          <w:szCs w:val="20"/>
        </w:rPr>
        <w:lastRenderedPageBreak/>
        <w:t>sobre los aspectos administrativos, o bien, para consignar sus derechos o responsabilidades contingentes que puedan, o no, presentarse en el futuro.</w:t>
      </w:r>
    </w:p>
    <w:p w14:paraId="01E1BD01" w14:textId="77777777" w:rsidR="00297ADF" w:rsidRPr="00297ADF" w:rsidRDefault="00297ADF" w:rsidP="00297ADF">
      <w:pPr>
        <w:jc w:val="both"/>
        <w:outlineLvl w:val="0"/>
        <w:rPr>
          <w:rFonts w:ascii="Arial" w:eastAsia="Calibri" w:hAnsi="Arial" w:cs="Arial"/>
          <w:b/>
          <w:bCs/>
          <w:sz w:val="20"/>
          <w:szCs w:val="20"/>
        </w:rPr>
      </w:pPr>
    </w:p>
    <w:p w14:paraId="4C1C7A99" w14:textId="77777777" w:rsidR="00297ADF" w:rsidRPr="00297ADF" w:rsidRDefault="00297ADF" w:rsidP="00297ADF">
      <w:pPr>
        <w:numPr>
          <w:ilvl w:val="1"/>
          <w:numId w:val="0"/>
        </w:numPr>
        <w:jc w:val="both"/>
        <w:rPr>
          <w:rFonts w:ascii="Arial" w:eastAsia="Times New Roman" w:hAnsi="Arial" w:cs="Times New Roman"/>
          <w:b/>
          <w:sz w:val="20"/>
        </w:rPr>
      </w:pPr>
      <w:bookmarkStart w:id="2" w:name="_Hlk129620465"/>
      <w:r w:rsidRPr="00297ADF">
        <w:rPr>
          <w:rFonts w:ascii="Arial" w:eastAsia="Times New Roman" w:hAnsi="Arial" w:cs="Times New Roman"/>
          <w:b/>
          <w:sz w:val="20"/>
        </w:rPr>
        <w:t>Cuentas de orden contables</w:t>
      </w:r>
    </w:p>
    <w:bookmarkEnd w:id="2"/>
    <w:p w14:paraId="7B981D80" w14:textId="77777777" w:rsidR="00297ADF" w:rsidRPr="00297ADF" w:rsidRDefault="00297ADF" w:rsidP="00297ADF">
      <w:pPr>
        <w:jc w:val="both"/>
        <w:outlineLvl w:val="0"/>
        <w:rPr>
          <w:rFonts w:ascii="Arial" w:eastAsia="Calibri" w:hAnsi="Arial" w:cs="Arial"/>
          <w:b/>
          <w:bCs/>
          <w:sz w:val="20"/>
          <w:szCs w:val="20"/>
        </w:rPr>
      </w:pPr>
    </w:p>
    <w:p w14:paraId="15B0A7E5"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 xml:space="preserve">Emisión de obligaciones </w:t>
      </w:r>
    </w:p>
    <w:p w14:paraId="3525C15A" w14:textId="77777777" w:rsidR="00297ADF" w:rsidRPr="00297ADF" w:rsidRDefault="00297ADF" w:rsidP="00297ADF">
      <w:pPr>
        <w:autoSpaceDE w:val="0"/>
        <w:autoSpaceDN w:val="0"/>
        <w:adjustRightInd w:val="0"/>
        <w:jc w:val="both"/>
        <w:rPr>
          <w:rFonts w:ascii="Arial" w:eastAsia="Calibri" w:hAnsi="Arial" w:cs="Arial"/>
          <w:sz w:val="20"/>
          <w:szCs w:val="20"/>
        </w:rPr>
      </w:pPr>
    </w:p>
    <w:p w14:paraId="04776647" w14:textId="77777777" w:rsidR="00297ADF" w:rsidRPr="00297ADF" w:rsidRDefault="00297ADF" w:rsidP="00297ADF">
      <w:pPr>
        <w:autoSpaceDE w:val="0"/>
        <w:autoSpaceDN w:val="0"/>
        <w:adjustRightInd w:val="0"/>
        <w:jc w:val="both"/>
        <w:rPr>
          <w:rFonts w:ascii="Arial" w:eastAsia="Calibri" w:hAnsi="Arial" w:cs="Arial"/>
          <w:sz w:val="20"/>
          <w:szCs w:val="20"/>
        </w:rPr>
      </w:pPr>
      <w:r w:rsidRPr="00297ADF">
        <w:rPr>
          <w:rFonts w:ascii="Arial" w:eastAsia="Calibri" w:hAnsi="Arial" w:cs="Arial"/>
          <w:sz w:val="20"/>
          <w:szCs w:val="20"/>
        </w:rPr>
        <w:t xml:space="preserve">Al 31 de marzo de 2024, los registros originados por la colocación de certificados bursátiles derivado de la bursatilización del Impuesto Sobre Nóminas reflejan un importe de $ 6,784,215,434 pesos, dicho importe se integra por la inversión inicial, y el registro derivado del efecto inflacionario en el valor de las </w:t>
      </w:r>
      <w:proofErr w:type="spellStart"/>
      <w:r w:rsidRPr="00297ADF">
        <w:rPr>
          <w:rFonts w:ascii="Arial" w:eastAsia="Calibri" w:hAnsi="Arial" w:cs="Arial"/>
          <w:sz w:val="20"/>
          <w:szCs w:val="20"/>
        </w:rPr>
        <w:t>UDI`s</w:t>
      </w:r>
      <w:proofErr w:type="spellEnd"/>
      <w:r w:rsidRPr="00297ADF">
        <w:rPr>
          <w:rFonts w:ascii="Arial" w:eastAsia="Calibri" w:hAnsi="Arial" w:cs="Arial"/>
          <w:sz w:val="20"/>
          <w:szCs w:val="20"/>
        </w:rPr>
        <w:t>.</w:t>
      </w:r>
    </w:p>
    <w:p w14:paraId="739B5754" w14:textId="77777777" w:rsidR="00297ADF" w:rsidRPr="00297ADF" w:rsidRDefault="00297ADF" w:rsidP="00297ADF">
      <w:pPr>
        <w:autoSpaceDE w:val="0"/>
        <w:autoSpaceDN w:val="0"/>
        <w:adjustRightInd w:val="0"/>
        <w:jc w:val="both"/>
        <w:rPr>
          <w:rFonts w:ascii="Arial" w:eastAsia="Calibri" w:hAnsi="Arial" w:cs="Arial"/>
          <w:sz w:val="20"/>
          <w:szCs w:val="20"/>
        </w:rPr>
      </w:pPr>
    </w:p>
    <w:p w14:paraId="297231CB" w14:textId="77777777" w:rsidR="00297ADF" w:rsidRPr="00297ADF" w:rsidRDefault="00297ADF" w:rsidP="00297ADF">
      <w:pPr>
        <w:jc w:val="center"/>
        <w:rPr>
          <w:rFonts w:ascii="Arial" w:eastAsia="Calibri" w:hAnsi="Arial" w:cs="Arial"/>
          <w:b/>
          <w:bCs/>
          <w:iCs/>
          <w:sz w:val="20"/>
          <w:szCs w:val="20"/>
        </w:rPr>
      </w:pPr>
      <w:r w:rsidRPr="00297ADF">
        <w:rPr>
          <w:noProof/>
          <w:lang w:eastAsia="es-MX"/>
        </w:rPr>
        <w:drawing>
          <wp:inline distT="0" distB="0" distL="0" distR="0" wp14:anchorId="6DF93E1D" wp14:editId="0DD0D11B">
            <wp:extent cx="6331585" cy="1932296"/>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1932296"/>
                    </a:xfrm>
                    <a:prstGeom prst="rect">
                      <a:avLst/>
                    </a:prstGeom>
                    <a:noFill/>
                    <a:ln>
                      <a:noFill/>
                    </a:ln>
                  </pic:spPr>
                </pic:pic>
              </a:graphicData>
            </a:graphic>
          </wp:inline>
        </w:drawing>
      </w:r>
    </w:p>
    <w:p w14:paraId="1CED1164" w14:textId="77777777" w:rsidR="00297ADF" w:rsidRPr="00297ADF" w:rsidRDefault="00297ADF" w:rsidP="00297ADF">
      <w:pPr>
        <w:jc w:val="both"/>
        <w:rPr>
          <w:rFonts w:ascii="Arial" w:eastAsia="Calibri" w:hAnsi="Arial" w:cs="Arial"/>
          <w:b/>
          <w:bCs/>
          <w:caps/>
          <w:sz w:val="20"/>
          <w:szCs w:val="20"/>
        </w:rPr>
      </w:pPr>
    </w:p>
    <w:p w14:paraId="4DC0D83C" w14:textId="77777777" w:rsidR="00297ADF" w:rsidRPr="00297ADF" w:rsidRDefault="00297ADF" w:rsidP="00297ADF">
      <w:pPr>
        <w:jc w:val="both"/>
        <w:rPr>
          <w:rFonts w:ascii="Arial" w:eastAsia="Calibri" w:hAnsi="Arial" w:cs="Arial"/>
          <w:b/>
          <w:bCs/>
          <w:caps/>
          <w:sz w:val="20"/>
          <w:szCs w:val="20"/>
        </w:rPr>
      </w:pPr>
    </w:p>
    <w:p w14:paraId="7A344465"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Cuentas de orden presupuestario</w:t>
      </w:r>
    </w:p>
    <w:p w14:paraId="4230C549" w14:textId="77777777" w:rsidR="00297ADF" w:rsidRPr="00297ADF" w:rsidRDefault="00297ADF" w:rsidP="00297ADF">
      <w:pPr>
        <w:jc w:val="both"/>
        <w:outlineLvl w:val="0"/>
        <w:rPr>
          <w:rFonts w:ascii="Arial" w:eastAsia="Times New Roman" w:hAnsi="Arial" w:cs="Arial"/>
          <w:b/>
          <w:bCs/>
          <w:i/>
          <w:iCs/>
          <w:sz w:val="20"/>
          <w:szCs w:val="20"/>
        </w:rPr>
      </w:pPr>
    </w:p>
    <w:p w14:paraId="640D5F41"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Cuentas de ingresos</w:t>
      </w:r>
    </w:p>
    <w:p w14:paraId="700C235E" w14:textId="77777777" w:rsidR="00297ADF" w:rsidRPr="00297ADF" w:rsidRDefault="00297ADF" w:rsidP="00297ADF">
      <w:pPr>
        <w:jc w:val="both"/>
        <w:outlineLvl w:val="0"/>
        <w:rPr>
          <w:rFonts w:ascii="Arial" w:eastAsia="Calibri" w:hAnsi="Arial" w:cs="Arial"/>
          <w:sz w:val="20"/>
          <w:szCs w:val="20"/>
        </w:rPr>
      </w:pPr>
    </w:p>
    <w:p w14:paraId="1CB5B66D"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Al inicio del ejercicio 2024, se aprobó un presupuesto de ingresos de $ 123,835,675,960 pesos, sin embargo, las estrategias implementadas para obtener mayores recursos, lograron un incremento de $ 1,688,519,103 pesos al presupuesto estimado para el periodo que se informa.</w:t>
      </w:r>
    </w:p>
    <w:p w14:paraId="02242F05" w14:textId="77777777" w:rsidR="00297ADF" w:rsidRPr="00297ADF" w:rsidRDefault="00297ADF" w:rsidP="00297ADF">
      <w:pPr>
        <w:jc w:val="both"/>
        <w:outlineLvl w:val="0"/>
        <w:rPr>
          <w:rFonts w:ascii="Arial" w:eastAsia="Calibri" w:hAnsi="Arial" w:cs="Arial"/>
          <w:b/>
          <w:bCs/>
          <w:sz w:val="20"/>
          <w:szCs w:val="20"/>
        </w:rPr>
      </w:pPr>
    </w:p>
    <w:p w14:paraId="412C87DE"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 xml:space="preserve">Los ingresos recaudados durante el periodo del 1 de enero al 31 de marzo de 2024, ascendieron a la cantidad de $ 33,112,514,139 pesos, representando un avance del 26.7 % , respecto al programado para el periodo que se informa. </w:t>
      </w:r>
    </w:p>
    <w:p w14:paraId="64651A34" w14:textId="77777777" w:rsidR="00297ADF" w:rsidRPr="00297ADF" w:rsidRDefault="00297ADF" w:rsidP="00297ADF">
      <w:pPr>
        <w:jc w:val="both"/>
        <w:outlineLvl w:val="0"/>
        <w:rPr>
          <w:rFonts w:ascii="Arial" w:eastAsia="Calibri" w:hAnsi="Arial" w:cs="Arial"/>
          <w:sz w:val="20"/>
          <w:szCs w:val="20"/>
        </w:rPr>
      </w:pPr>
    </w:p>
    <w:p w14:paraId="15AB2378"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Los ingresos derivados de recursos provenientes del Gobierno Federal, representó el 93.5 % del total de los ingresos recaudados, con un importe de $ 30,964,361,336 pesos, integrándose de $ 29,698,358,162 pesos por participaciones, aportaciones, convenios, incentivos derivados de la colaboración fiscal y fondos distintos de aportaciones, y de $ 1,266,003,174 pesos por concepto de transferencias, asignaciones, subsidios y subvenciones, y pensiones y jubilaciones.</w:t>
      </w:r>
    </w:p>
    <w:p w14:paraId="617C7F9E" w14:textId="77777777" w:rsidR="00297ADF" w:rsidRPr="00297ADF" w:rsidRDefault="00297ADF" w:rsidP="00297ADF">
      <w:pPr>
        <w:jc w:val="both"/>
        <w:outlineLvl w:val="0"/>
        <w:rPr>
          <w:rFonts w:ascii="Arial" w:eastAsia="Calibri" w:hAnsi="Arial" w:cs="Arial"/>
          <w:sz w:val="20"/>
          <w:szCs w:val="20"/>
        </w:rPr>
      </w:pPr>
    </w:p>
    <w:p w14:paraId="0038C61D"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A continuación, se presenta el estado analítico de ingresos presupuestarios de acuerdo a la clasificación indicada en las notas de memoria de los estados financieros emitido por el CONAC.</w:t>
      </w:r>
    </w:p>
    <w:p w14:paraId="1D1507BA" w14:textId="77777777" w:rsidR="00297ADF" w:rsidRPr="00297ADF" w:rsidRDefault="00297ADF" w:rsidP="00297ADF">
      <w:pPr>
        <w:jc w:val="both"/>
        <w:outlineLvl w:val="0"/>
        <w:rPr>
          <w:rFonts w:ascii="Arial" w:eastAsia="Calibri" w:hAnsi="Arial" w:cs="Arial"/>
          <w:sz w:val="20"/>
          <w:szCs w:val="20"/>
        </w:rPr>
      </w:pPr>
    </w:p>
    <w:p w14:paraId="4AD61F19" w14:textId="77777777" w:rsidR="00297ADF" w:rsidRPr="00297ADF" w:rsidRDefault="00297ADF" w:rsidP="00297ADF">
      <w:pPr>
        <w:jc w:val="center"/>
        <w:outlineLvl w:val="0"/>
        <w:rPr>
          <w:rFonts w:ascii="Arial" w:eastAsia="Calibri" w:hAnsi="Arial" w:cs="Arial"/>
          <w:sz w:val="20"/>
          <w:szCs w:val="20"/>
        </w:rPr>
      </w:pPr>
      <w:r w:rsidRPr="00297ADF">
        <w:rPr>
          <w:noProof/>
          <w:lang w:eastAsia="es-MX"/>
        </w:rPr>
        <w:lastRenderedPageBreak/>
        <w:drawing>
          <wp:inline distT="0" distB="0" distL="0" distR="0" wp14:anchorId="1EF2A1F2" wp14:editId="5D3B9009">
            <wp:extent cx="6331585" cy="3055972"/>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3055972"/>
                    </a:xfrm>
                    <a:prstGeom prst="rect">
                      <a:avLst/>
                    </a:prstGeom>
                    <a:noFill/>
                    <a:ln>
                      <a:noFill/>
                    </a:ln>
                  </pic:spPr>
                </pic:pic>
              </a:graphicData>
            </a:graphic>
          </wp:inline>
        </w:drawing>
      </w:r>
    </w:p>
    <w:p w14:paraId="1373D09C" w14:textId="77777777" w:rsidR="00297ADF" w:rsidRPr="00297ADF" w:rsidRDefault="00297ADF" w:rsidP="00297ADF">
      <w:pPr>
        <w:numPr>
          <w:ilvl w:val="1"/>
          <w:numId w:val="0"/>
        </w:numPr>
        <w:jc w:val="both"/>
        <w:rPr>
          <w:rFonts w:ascii="Arial" w:eastAsia="Times New Roman" w:hAnsi="Arial" w:cs="Times New Roman"/>
          <w:b/>
          <w:sz w:val="20"/>
        </w:rPr>
      </w:pPr>
    </w:p>
    <w:p w14:paraId="5D16B1EF" w14:textId="77777777" w:rsidR="00297ADF" w:rsidRPr="00297ADF" w:rsidRDefault="00297ADF" w:rsidP="00297ADF">
      <w:pPr>
        <w:numPr>
          <w:ilvl w:val="1"/>
          <w:numId w:val="0"/>
        </w:numPr>
        <w:jc w:val="both"/>
        <w:rPr>
          <w:rFonts w:ascii="Arial" w:eastAsia="Times New Roman" w:hAnsi="Arial" w:cs="Times New Roman"/>
          <w:b/>
          <w:sz w:val="20"/>
        </w:rPr>
      </w:pPr>
    </w:p>
    <w:p w14:paraId="4AB4FFAE" w14:textId="77777777"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t>Cuentas de egresos</w:t>
      </w:r>
    </w:p>
    <w:p w14:paraId="1CC19898" w14:textId="77777777" w:rsidR="00297ADF" w:rsidRPr="00297ADF" w:rsidRDefault="00297ADF" w:rsidP="00297ADF">
      <w:pPr>
        <w:jc w:val="both"/>
        <w:outlineLvl w:val="0"/>
        <w:rPr>
          <w:rFonts w:ascii="Arial" w:eastAsia="Calibri" w:hAnsi="Arial" w:cs="Arial"/>
          <w:sz w:val="20"/>
          <w:szCs w:val="20"/>
        </w:rPr>
      </w:pPr>
    </w:p>
    <w:p w14:paraId="4A07C5A7" w14:textId="77777777" w:rsidR="00297ADF" w:rsidRPr="00297ADF" w:rsidRDefault="00297ADF" w:rsidP="00297ADF">
      <w:pPr>
        <w:jc w:val="both"/>
        <w:outlineLvl w:val="0"/>
        <w:rPr>
          <w:rFonts w:ascii="Arial" w:eastAsia="Calibri" w:hAnsi="Arial" w:cs="Arial"/>
          <w:sz w:val="20"/>
          <w:szCs w:val="20"/>
        </w:rPr>
      </w:pPr>
      <w:r w:rsidRPr="00297ADF">
        <w:rPr>
          <w:rFonts w:ascii="Arial" w:eastAsia="Calibri" w:hAnsi="Arial" w:cs="Arial"/>
          <w:sz w:val="20"/>
          <w:szCs w:val="20"/>
        </w:rPr>
        <w:t>El estado del ejercicio del presupuesto de egresos del Gobierno Estatal, refleja al 31 de marzo de 2024, una modificación neta positiva al presupuesto aprobado anual de $ 5,972,952,886 pesos representando el 0.1 % mayor, llegando a un monto de $ 98,685,506,053 pesos.</w:t>
      </w:r>
    </w:p>
    <w:p w14:paraId="2736679E" w14:textId="77777777" w:rsidR="00297ADF" w:rsidRPr="00297ADF" w:rsidRDefault="00297ADF" w:rsidP="00297ADF">
      <w:pPr>
        <w:jc w:val="both"/>
        <w:outlineLvl w:val="0"/>
        <w:rPr>
          <w:rFonts w:ascii="Arial" w:eastAsia="Calibri" w:hAnsi="Arial" w:cs="Arial"/>
          <w:sz w:val="20"/>
          <w:szCs w:val="20"/>
        </w:rPr>
      </w:pPr>
    </w:p>
    <w:p w14:paraId="6D31EAF8" w14:textId="77777777" w:rsidR="00297ADF" w:rsidRPr="00297ADF" w:rsidRDefault="00297ADF" w:rsidP="00297ADF">
      <w:pPr>
        <w:jc w:val="both"/>
        <w:rPr>
          <w:rFonts w:ascii="Arial" w:eastAsia="Calibri" w:hAnsi="Arial" w:cs="Arial"/>
          <w:sz w:val="20"/>
          <w:szCs w:val="20"/>
        </w:rPr>
      </w:pPr>
      <w:r w:rsidRPr="00297ADF">
        <w:rPr>
          <w:rFonts w:ascii="Arial" w:eastAsia="Calibri" w:hAnsi="Arial" w:cs="Arial"/>
          <w:sz w:val="20"/>
          <w:szCs w:val="20"/>
        </w:rPr>
        <w:t xml:space="preserve">El presupuesto devengado a la fecha que se informa fue de $ 20,616,626,197 pesos, de los cuales se aplicaron $ 8,997,951,948 pesos a participaciones y aportaciones, equivalente al 43.6 % del devengo total; $ 8,864,132,849 pesos para servicios personales, que equivale al 43 % del devengado total; en transferencias, asignaciones, subsidios y otras ayudas, se destinaron $ 765,698,271 pesos, que representa el 3.7 % del total devengado; $ 491,293,895 pesos para servicios generales, que equivale al 2.4 % del devengado total; en inversiones financieras y otras provisiones se aplicaron $ 464,449,639 pesos, que equivale al 2.3 % del total devengado; en inversión pública se destinaron $ 450,162,077 pesos, equivalente al 2.2 % del devengo total; en deuda pública se aplicaron $ 418,869,469 pesos, que equivale al 2.0 % del total devengado; entre los rubros más sobresalientes. </w:t>
      </w:r>
    </w:p>
    <w:p w14:paraId="2F100C61" w14:textId="77777777" w:rsidR="00297ADF" w:rsidRPr="00297ADF" w:rsidRDefault="00297ADF" w:rsidP="00297ADF">
      <w:pPr>
        <w:jc w:val="both"/>
        <w:rPr>
          <w:rFonts w:ascii="Arial" w:eastAsia="Calibri" w:hAnsi="Arial" w:cs="Arial"/>
          <w:sz w:val="20"/>
          <w:szCs w:val="20"/>
        </w:rPr>
      </w:pPr>
    </w:p>
    <w:p w14:paraId="15B7A874" w14:textId="77777777" w:rsidR="00297ADF" w:rsidRPr="00297ADF" w:rsidRDefault="00297ADF" w:rsidP="00297ADF">
      <w:pPr>
        <w:jc w:val="center"/>
        <w:outlineLvl w:val="0"/>
        <w:rPr>
          <w:rFonts w:ascii="Arial" w:eastAsia="Calibri" w:hAnsi="Arial" w:cs="Arial"/>
          <w:b/>
          <w:bCs/>
          <w:sz w:val="20"/>
          <w:szCs w:val="20"/>
        </w:rPr>
      </w:pPr>
      <w:r w:rsidRPr="00297ADF">
        <w:rPr>
          <w:noProof/>
          <w:lang w:eastAsia="es-MX"/>
        </w:rPr>
        <w:drawing>
          <wp:inline distT="0" distB="0" distL="0" distR="0" wp14:anchorId="5111A247" wp14:editId="2C8B650C">
            <wp:extent cx="6331585" cy="246047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2460475"/>
                    </a:xfrm>
                    <a:prstGeom prst="rect">
                      <a:avLst/>
                    </a:prstGeom>
                    <a:noFill/>
                    <a:ln>
                      <a:noFill/>
                    </a:ln>
                  </pic:spPr>
                </pic:pic>
              </a:graphicData>
            </a:graphic>
          </wp:inline>
        </w:drawing>
      </w:r>
    </w:p>
    <w:p w14:paraId="41C61AFE" w14:textId="77777777" w:rsidR="00297ADF" w:rsidRPr="00297ADF" w:rsidRDefault="00297ADF" w:rsidP="00297ADF">
      <w:pPr>
        <w:numPr>
          <w:ilvl w:val="1"/>
          <w:numId w:val="0"/>
        </w:numPr>
        <w:jc w:val="both"/>
        <w:rPr>
          <w:rFonts w:ascii="Arial" w:eastAsia="Times New Roman" w:hAnsi="Arial" w:cs="Times New Roman"/>
          <w:b/>
          <w:sz w:val="20"/>
        </w:rPr>
      </w:pPr>
      <w:bookmarkStart w:id="3" w:name="_Hlk129620584"/>
    </w:p>
    <w:p w14:paraId="683F1F22" w14:textId="77777777" w:rsidR="000346E4" w:rsidRDefault="000346E4">
      <w:pPr>
        <w:spacing w:after="160" w:line="259" w:lineRule="auto"/>
        <w:rPr>
          <w:rFonts w:ascii="Arial" w:eastAsia="Times New Roman" w:hAnsi="Arial" w:cs="Times New Roman"/>
          <w:b/>
          <w:sz w:val="20"/>
        </w:rPr>
      </w:pPr>
      <w:r>
        <w:rPr>
          <w:rFonts w:ascii="Arial" w:eastAsia="Times New Roman" w:hAnsi="Arial" w:cs="Times New Roman"/>
          <w:b/>
          <w:sz w:val="20"/>
        </w:rPr>
        <w:br w:type="page"/>
      </w:r>
    </w:p>
    <w:p w14:paraId="68066C98" w14:textId="232F4A39" w:rsidR="00297ADF" w:rsidRPr="00297ADF" w:rsidRDefault="00297ADF" w:rsidP="00297ADF">
      <w:pPr>
        <w:numPr>
          <w:ilvl w:val="1"/>
          <w:numId w:val="0"/>
        </w:numPr>
        <w:jc w:val="both"/>
        <w:rPr>
          <w:rFonts w:ascii="Arial" w:eastAsia="Times New Roman" w:hAnsi="Arial" w:cs="Times New Roman"/>
          <w:b/>
          <w:sz w:val="20"/>
        </w:rPr>
      </w:pPr>
      <w:r w:rsidRPr="00297ADF">
        <w:rPr>
          <w:rFonts w:ascii="Arial" w:eastAsia="Times New Roman" w:hAnsi="Arial" w:cs="Times New Roman"/>
          <w:b/>
          <w:sz w:val="20"/>
        </w:rPr>
        <w:lastRenderedPageBreak/>
        <w:t>Razones financieras</w:t>
      </w:r>
    </w:p>
    <w:bookmarkEnd w:id="3"/>
    <w:p w14:paraId="5980F9C1" w14:textId="77777777" w:rsidR="00297ADF" w:rsidRPr="00297ADF" w:rsidRDefault="00297ADF" w:rsidP="00297ADF">
      <w:pPr>
        <w:tabs>
          <w:tab w:val="left" w:pos="5280"/>
        </w:tabs>
        <w:jc w:val="both"/>
        <w:rPr>
          <w:rFonts w:ascii="Arial" w:eastAsia="Calibri" w:hAnsi="Arial" w:cs="Arial"/>
          <w:sz w:val="20"/>
          <w:szCs w:val="20"/>
        </w:rPr>
      </w:pPr>
    </w:p>
    <w:p w14:paraId="43FA4897" w14:textId="77777777" w:rsidR="00297ADF" w:rsidRPr="00297ADF" w:rsidRDefault="00297ADF" w:rsidP="00297ADF">
      <w:pPr>
        <w:spacing w:after="120"/>
        <w:jc w:val="both"/>
        <w:rPr>
          <w:rFonts w:ascii="Arial" w:eastAsia="Times New Roman" w:hAnsi="Arial" w:cs="Arial"/>
          <w:iCs/>
          <w:sz w:val="20"/>
          <w:szCs w:val="20"/>
          <w:lang w:val="es-ES" w:eastAsia="es-ES"/>
        </w:rPr>
      </w:pPr>
      <w:r w:rsidRPr="00297ADF">
        <w:rPr>
          <w:rFonts w:ascii="Arial" w:eastAsia="Times New Roman" w:hAnsi="Arial" w:cs="Arial"/>
          <w:iCs/>
          <w:sz w:val="20"/>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73BF9CC6" w14:textId="77777777" w:rsidR="00297ADF" w:rsidRPr="00297ADF" w:rsidRDefault="00297ADF" w:rsidP="00297ADF">
      <w:pPr>
        <w:tabs>
          <w:tab w:val="left" w:pos="5280"/>
        </w:tabs>
        <w:jc w:val="both"/>
        <w:rPr>
          <w:rFonts w:ascii="Arial" w:eastAsia="Calibri" w:hAnsi="Arial" w:cs="Arial"/>
          <w:sz w:val="20"/>
          <w:szCs w:val="20"/>
        </w:rPr>
      </w:pPr>
    </w:p>
    <w:p w14:paraId="18EE428E"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A los resultados obtenidos al 31 de marzo de 2024, se aplicaron las siguientes razones financieras:</w:t>
      </w:r>
    </w:p>
    <w:p w14:paraId="077C0759" w14:textId="77777777" w:rsidR="00297ADF" w:rsidRPr="00297ADF" w:rsidRDefault="00297ADF" w:rsidP="00297ADF">
      <w:pPr>
        <w:tabs>
          <w:tab w:val="left" w:pos="5280"/>
        </w:tabs>
        <w:jc w:val="both"/>
        <w:rPr>
          <w:rFonts w:ascii="Arial" w:eastAsia="Calibri" w:hAnsi="Arial" w:cs="Arial"/>
          <w:sz w:val="20"/>
          <w:szCs w:val="20"/>
        </w:rPr>
      </w:pPr>
    </w:p>
    <w:p w14:paraId="3C3298EE" w14:textId="2C5DB917" w:rsidR="00297ADF" w:rsidRPr="00297ADF" w:rsidRDefault="000346E4" w:rsidP="00297ADF">
      <w:pPr>
        <w:tabs>
          <w:tab w:val="left" w:pos="5280"/>
        </w:tabs>
        <w:jc w:val="both"/>
        <w:rPr>
          <w:rFonts w:ascii="Arial" w:eastAsia="Calibri" w:hAnsi="Arial" w:cs="Arial"/>
          <w:b/>
          <w:bCs/>
          <w:sz w:val="20"/>
          <w:szCs w:val="20"/>
        </w:rPr>
      </w:pPr>
      <w:r w:rsidRPr="000346E4">
        <w:drawing>
          <wp:inline distT="0" distB="0" distL="0" distR="0" wp14:anchorId="1A2D3D08" wp14:editId="674FDCB3">
            <wp:extent cx="6691630" cy="249237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1630" cy="2492375"/>
                    </a:xfrm>
                    <a:prstGeom prst="rect">
                      <a:avLst/>
                    </a:prstGeom>
                    <a:noFill/>
                    <a:ln>
                      <a:noFill/>
                    </a:ln>
                  </pic:spPr>
                </pic:pic>
              </a:graphicData>
            </a:graphic>
          </wp:inline>
        </w:drawing>
      </w:r>
    </w:p>
    <w:p w14:paraId="7C21B3C1" w14:textId="77777777" w:rsidR="00297ADF" w:rsidRPr="00297ADF" w:rsidRDefault="00297ADF" w:rsidP="00297ADF">
      <w:pPr>
        <w:tabs>
          <w:tab w:val="left" w:pos="5280"/>
        </w:tabs>
        <w:jc w:val="both"/>
        <w:rPr>
          <w:rFonts w:ascii="Arial" w:eastAsia="Calibri" w:hAnsi="Arial" w:cs="Arial"/>
          <w:sz w:val="20"/>
          <w:szCs w:val="20"/>
        </w:rPr>
      </w:pPr>
    </w:p>
    <w:p w14:paraId="33F9F664" w14:textId="77777777" w:rsidR="00297ADF" w:rsidRPr="00297ADF" w:rsidRDefault="00297ADF" w:rsidP="00297ADF">
      <w:pPr>
        <w:tabs>
          <w:tab w:val="left" w:pos="5280"/>
        </w:tabs>
        <w:jc w:val="both"/>
        <w:rPr>
          <w:rFonts w:ascii="Arial" w:eastAsia="Calibri" w:hAnsi="Arial" w:cs="Arial"/>
          <w:sz w:val="20"/>
          <w:szCs w:val="20"/>
        </w:rPr>
      </w:pPr>
    </w:p>
    <w:p w14:paraId="176E16CC"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 xml:space="preserve">Los estados financieros muestran un resultado de $ 8.6 pesos de </w:t>
      </w:r>
      <w:r w:rsidRPr="00297ADF">
        <w:rPr>
          <w:rFonts w:ascii="Arial" w:eastAsia="Calibri" w:hAnsi="Arial" w:cs="Arial"/>
          <w:b/>
          <w:bCs/>
          <w:sz w:val="20"/>
          <w:szCs w:val="20"/>
        </w:rPr>
        <w:t>liquidez y disponibilidad inmediata</w:t>
      </w:r>
      <w:r w:rsidRPr="00297ADF">
        <w:rPr>
          <w:rFonts w:ascii="Arial" w:eastAsia="Calibri" w:hAnsi="Arial" w:cs="Arial"/>
          <w:sz w:val="20"/>
          <w:szCs w:val="20"/>
        </w:rPr>
        <w:t xml:space="preserve"> para hacer frente a cada peso de los compromisos de corto plazo.</w:t>
      </w:r>
    </w:p>
    <w:p w14:paraId="756D59FC" w14:textId="77777777" w:rsidR="00297ADF" w:rsidRPr="00297ADF" w:rsidRDefault="00297ADF" w:rsidP="00297ADF">
      <w:pPr>
        <w:tabs>
          <w:tab w:val="left" w:pos="5280"/>
        </w:tabs>
        <w:jc w:val="both"/>
        <w:rPr>
          <w:rFonts w:ascii="Arial" w:eastAsia="Calibri" w:hAnsi="Arial" w:cs="Arial"/>
          <w:sz w:val="20"/>
          <w:szCs w:val="20"/>
        </w:rPr>
      </w:pPr>
    </w:p>
    <w:p w14:paraId="7F221C7E"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 xml:space="preserve">La razón de </w:t>
      </w:r>
      <w:r w:rsidRPr="00297ADF">
        <w:rPr>
          <w:rFonts w:ascii="Arial" w:eastAsia="Calibri" w:hAnsi="Arial" w:cs="Arial"/>
          <w:b/>
          <w:bCs/>
          <w:sz w:val="20"/>
          <w:szCs w:val="20"/>
        </w:rPr>
        <w:t>solvencia</w:t>
      </w:r>
      <w:r w:rsidRPr="00297ADF">
        <w:rPr>
          <w:rFonts w:ascii="Arial" w:eastAsia="Calibri" w:hAnsi="Arial" w:cs="Arial"/>
          <w:sz w:val="20"/>
          <w:szCs w:val="20"/>
        </w:rPr>
        <w:t xml:space="preserve"> muestra que el Gobierno cuenta con $ 8.8 pesos para cubrir cada peso que debe por sus compromisos a corto plazo.</w:t>
      </w:r>
    </w:p>
    <w:p w14:paraId="5AAC0907" w14:textId="77777777" w:rsidR="00297ADF" w:rsidRPr="00297ADF" w:rsidRDefault="00297ADF" w:rsidP="00297ADF">
      <w:pPr>
        <w:tabs>
          <w:tab w:val="left" w:pos="5280"/>
        </w:tabs>
        <w:jc w:val="both"/>
        <w:rPr>
          <w:rFonts w:ascii="Arial" w:eastAsia="Calibri" w:hAnsi="Arial" w:cs="Arial"/>
          <w:sz w:val="20"/>
          <w:szCs w:val="20"/>
        </w:rPr>
      </w:pPr>
    </w:p>
    <w:p w14:paraId="14E34A1B" w14:textId="77777777" w:rsidR="00297ADF" w:rsidRPr="00297ADF" w:rsidRDefault="00297ADF" w:rsidP="00297ADF">
      <w:pPr>
        <w:tabs>
          <w:tab w:val="left" w:pos="5280"/>
        </w:tabs>
        <w:spacing w:after="120"/>
        <w:rPr>
          <w:rFonts w:ascii="Arial" w:eastAsia="Times New Roman" w:hAnsi="Arial" w:cs="Arial"/>
          <w:iCs/>
          <w:sz w:val="20"/>
          <w:szCs w:val="20"/>
          <w:lang w:val="es-ES" w:eastAsia="es-ES"/>
        </w:rPr>
      </w:pPr>
      <w:r w:rsidRPr="00297ADF">
        <w:rPr>
          <w:rFonts w:ascii="Arial" w:eastAsia="Times New Roman" w:hAnsi="Arial" w:cs="Arial"/>
          <w:iCs/>
          <w:sz w:val="20"/>
          <w:szCs w:val="20"/>
          <w:lang w:val="es-ES" w:eastAsia="es-ES"/>
        </w:rPr>
        <w:t xml:space="preserve">La </w:t>
      </w:r>
      <w:r w:rsidRPr="00297ADF">
        <w:rPr>
          <w:rFonts w:ascii="Arial" w:eastAsia="Times New Roman" w:hAnsi="Arial" w:cs="Arial"/>
          <w:b/>
          <w:bCs/>
          <w:iCs/>
          <w:sz w:val="20"/>
          <w:szCs w:val="20"/>
          <w:lang w:val="es-ES" w:eastAsia="es-ES"/>
        </w:rPr>
        <w:t>prueba del ácido</w:t>
      </w:r>
      <w:r w:rsidRPr="00297ADF">
        <w:rPr>
          <w:rFonts w:ascii="Arial" w:eastAsia="Times New Roman" w:hAnsi="Arial" w:cs="Arial"/>
          <w:iCs/>
          <w:sz w:val="20"/>
          <w:szCs w:val="20"/>
          <w:lang w:val="es-ES" w:eastAsia="es-ES"/>
        </w:rPr>
        <w:t xml:space="preserve"> indica que el Estado cuenta con $ 8.8 pesos de activos de conversión inmediata en efectivo por cada peso de pasivos a corto plazo.</w:t>
      </w:r>
    </w:p>
    <w:p w14:paraId="6E9EAB3F" w14:textId="77777777" w:rsidR="00297ADF" w:rsidRPr="00297ADF" w:rsidRDefault="00297ADF" w:rsidP="00297ADF">
      <w:pPr>
        <w:tabs>
          <w:tab w:val="left" w:pos="5280"/>
        </w:tabs>
        <w:jc w:val="both"/>
        <w:rPr>
          <w:rFonts w:ascii="Arial" w:eastAsia="Calibri" w:hAnsi="Arial" w:cs="Arial"/>
          <w:sz w:val="20"/>
          <w:szCs w:val="20"/>
        </w:rPr>
      </w:pPr>
    </w:p>
    <w:p w14:paraId="581C8DFD" w14:textId="77777777" w:rsidR="00297ADF" w:rsidRPr="00297ADF" w:rsidRDefault="00297ADF" w:rsidP="00297ADF">
      <w:pPr>
        <w:tabs>
          <w:tab w:val="left" w:pos="5280"/>
        </w:tabs>
        <w:jc w:val="both"/>
        <w:rPr>
          <w:rFonts w:ascii="Arial" w:eastAsia="Calibri" w:hAnsi="Arial" w:cs="Arial"/>
          <w:sz w:val="20"/>
          <w:szCs w:val="20"/>
        </w:rPr>
      </w:pPr>
      <w:r w:rsidRPr="00297ADF">
        <w:rPr>
          <w:rFonts w:ascii="Arial" w:eastAsia="Calibri" w:hAnsi="Arial" w:cs="Arial"/>
          <w:sz w:val="20"/>
          <w:szCs w:val="20"/>
        </w:rPr>
        <w:t>La posición financiera que guarda el Gobierno del Estado muestra los ingresos y egresos al 31 de marzo del ejercicio 2024, toda vez que los saldos de los pasivos se han mantenido en niveles saludables y en equilibrio de la recaudación de los ingresos.</w:t>
      </w:r>
    </w:p>
    <w:p w14:paraId="5A8017B9" w14:textId="77777777" w:rsidR="00297ADF" w:rsidRPr="00297ADF" w:rsidRDefault="00297ADF" w:rsidP="00297ADF">
      <w:pPr>
        <w:tabs>
          <w:tab w:val="left" w:pos="5280"/>
        </w:tabs>
        <w:spacing w:after="120"/>
        <w:rPr>
          <w:rFonts w:ascii="Arial" w:eastAsia="Times New Roman" w:hAnsi="Arial" w:cs="Arial"/>
          <w:iCs/>
          <w:sz w:val="20"/>
          <w:szCs w:val="20"/>
          <w:lang w:val="es-ES" w:eastAsia="es-ES"/>
        </w:rPr>
      </w:pPr>
    </w:p>
    <w:p w14:paraId="7F1AF4DC" w14:textId="77777777" w:rsidR="00297ADF" w:rsidRPr="00297ADF" w:rsidRDefault="00297ADF" w:rsidP="00297ADF">
      <w:pPr>
        <w:tabs>
          <w:tab w:val="left" w:pos="5280"/>
        </w:tabs>
        <w:spacing w:after="120"/>
        <w:rPr>
          <w:rFonts w:ascii="Arial" w:eastAsia="Times New Roman" w:hAnsi="Arial" w:cs="Arial"/>
          <w:iCs/>
          <w:sz w:val="20"/>
          <w:szCs w:val="20"/>
          <w:lang w:val="es-ES" w:eastAsia="es-ES"/>
        </w:rPr>
      </w:pPr>
      <w:r w:rsidRPr="00297ADF">
        <w:rPr>
          <w:rFonts w:ascii="Arial" w:eastAsia="Times New Roman" w:hAnsi="Arial" w:cs="Arial"/>
          <w:iCs/>
          <w:sz w:val="20"/>
          <w:szCs w:val="20"/>
          <w:lang w:val="es-ES" w:eastAsia="es-ES"/>
        </w:rPr>
        <w:t>En conclusión, las obligaciones que se tienen a corto plazo, son cubiertas con el total de los activos propiedad del Estado.</w:t>
      </w:r>
    </w:p>
    <w:p w14:paraId="4830A843" w14:textId="77777777" w:rsidR="00297ADF" w:rsidRPr="00297ADF" w:rsidRDefault="00297ADF" w:rsidP="00297ADF">
      <w:pPr>
        <w:tabs>
          <w:tab w:val="left" w:pos="5280"/>
        </w:tabs>
        <w:spacing w:after="120"/>
        <w:rPr>
          <w:rFonts w:ascii="Arial" w:eastAsia="Times New Roman" w:hAnsi="Arial" w:cs="Arial"/>
          <w:iCs/>
          <w:sz w:val="20"/>
          <w:szCs w:val="20"/>
          <w:lang w:val="es-ES" w:eastAsia="es-ES"/>
        </w:rPr>
      </w:pPr>
    </w:p>
    <w:p w14:paraId="0DB3F46D" w14:textId="77777777" w:rsidR="00297ADF" w:rsidRPr="00297ADF" w:rsidRDefault="00297ADF" w:rsidP="00297ADF">
      <w:pPr>
        <w:tabs>
          <w:tab w:val="left" w:pos="5280"/>
        </w:tabs>
        <w:spacing w:after="120"/>
        <w:rPr>
          <w:rFonts w:ascii="Arial" w:eastAsia="Times New Roman" w:hAnsi="Arial" w:cs="Arial"/>
          <w:iCs/>
          <w:sz w:val="20"/>
          <w:szCs w:val="20"/>
          <w:lang w:val="es-ES" w:eastAsia="es-ES"/>
        </w:rPr>
      </w:pPr>
    </w:p>
    <w:p w14:paraId="4BB4A428" w14:textId="77777777" w:rsidR="00297ADF" w:rsidRPr="00297ADF" w:rsidRDefault="00297ADF" w:rsidP="00297ADF">
      <w:pPr>
        <w:spacing w:after="160" w:line="259" w:lineRule="auto"/>
        <w:jc w:val="both"/>
        <w:rPr>
          <w:rFonts w:ascii="Arial" w:eastAsia="Calibri" w:hAnsi="Arial" w:cs="Arial"/>
          <w:b/>
          <w:caps/>
          <w:sz w:val="20"/>
          <w:szCs w:val="20"/>
        </w:rPr>
      </w:pPr>
      <w:r w:rsidRPr="00297ADF">
        <w:rPr>
          <w:rFonts w:ascii="Arial" w:eastAsia="Calibri" w:hAnsi="Arial" w:cs="Arial"/>
          <w:b/>
          <w:caps/>
          <w:sz w:val="20"/>
          <w:szCs w:val="20"/>
        </w:rPr>
        <w:br w:type="page"/>
      </w:r>
    </w:p>
    <w:p w14:paraId="6C0A72F6" w14:textId="77777777" w:rsidR="00297ADF" w:rsidRPr="000346E4" w:rsidRDefault="00297ADF" w:rsidP="00297ADF">
      <w:pPr>
        <w:jc w:val="both"/>
        <w:rPr>
          <w:rFonts w:ascii="Arial" w:eastAsia="Times New Roman" w:hAnsi="Arial" w:cs="Arial"/>
          <w:b/>
          <w:bCs/>
          <w:color w:val="9E213D"/>
          <w:sz w:val="28"/>
          <w:szCs w:val="24"/>
          <w:lang w:val="es-ES" w:eastAsia="es-ES"/>
        </w:rPr>
      </w:pPr>
      <w:bookmarkStart w:id="4" w:name="_Hlk129620599"/>
      <w:r w:rsidRPr="000346E4">
        <w:rPr>
          <w:rFonts w:ascii="Arial" w:eastAsia="Times New Roman" w:hAnsi="Arial" w:cs="Arial"/>
          <w:b/>
          <w:bCs/>
          <w:color w:val="9E213D"/>
          <w:sz w:val="28"/>
          <w:szCs w:val="24"/>
          <w:lang w:val="es-ES" w:eastAsia="es-ES"/>
        </w:rPr>
        <w:lastRenderedPageBreak/>
        <w:t>Reporte analítico del activo no circulante</w:t>
      </w:r>
    </w:p>
    <w:bookmarkEnd w:id="4"/>
    <w:p w14:paraId="67E93ECD" w14:textId="77777777" w:rsidR="00297ADF" w:rsidRPr="00297ADF" w:rsidRDefault="00297ADF" w:rsidP="00297ADF">
      <w:pPr>
        <w:widowControl w:val="0"/>
        <w:jc w:val="both"/>
        <w:rPr>
          <w:rFonts w:ascii="Arial" w:eastAsia="Calibri" w:hAnsi="Arial" w:cs="Arial"/>
          <w:sz w:val="20"/>
          <w:szCs w:val="20"/>
        </w:rPr>
      </w:pPr>
    </w:p>
    <w:p w14:paraId="7A1B2CFD" w14:textId="77777777" w:rsidR="00297ADF" w:rsidRPr="00297ADF" w:rsidRDefault="00297ADF" w:rsidP="00297ADF">
      <w:pPr>
        <w:widowControl w:val="0"/>
        <w:jc w:val="both"/>
        <w:rPr>
          <w:rFonts w:ascii="Arial" w:eastAsia="Calibri" w:hAnsi="Arial" w:cs="Arial"/>
          <w:sz w:val="20"/>
          <w:szCs w:val="20"/>
        </w:rPr>
      </w:pPr>
      <w:r w:rsidRPr="00297ADF">
        <w:rPr>
          <w:rFonts w:ascii="Arial" w:eastAsia="Calibri" w:hAnsi="Arial" w:cs="Arial"/>
          <w:sz w:val="20"/>
          <w:szCs w:val="20"/>
        </w:rPr>
        <w:t xml:space="preserve">A continuación, se presentan los saldos por tipo de activo no circulante registrado en los estados financieros consolidados del Gobierno del estado de Chiapas, al 31 de marzo de 2024. Este reporte muestra el total de las adquisiciones que cada uno de los entes públicos integran su patrimonio. </w:t>
      </w:r>
    </w:p>
    <w:p w14:paraId="7F99E309" w14:textId="77777777" w:rsidR="00297ADF" w:rsidRPr="00297ADF" w:rsidRDefault="00297ADF" w:rsidP="00297ADF">
      <w:pPr>
        <w:widowControl w:val="0"/>
        <w:jc w:val="both"/>
        <w:rPr>
          <w:rFonts w:ascii="Arial" w:eastAsia="Calibri" w:hAnsi="Arial" w:cs="Arial"/>
          <w:sz w:val="20"/>
          <w:szCs w:val="20"/>
        </w:rPr>
      </w:pPr>
    </w:p>
    <w:p w14:paraId="4DA7DDA9" w14:textId="77777777" w:rsidR="00297ADF" w:rsidRPr="00297ADF" w:rsidRDefault="00297ADF" w:rsidP="00297ADF">
      <w:pPr>
        <w:widowControl w:val="0"/>
        <w:jc w:val="center"/>
        <w:rPr>
          <w:rFonts w:ascii="Arial" w:eastAsia="Calibri" w:hAnsi="Arial" w:cs="Arial"/>
          <w:sz w:val="20"/>
          <w:szCs w:val="20"/>
        </w:rPr>
      </w:pPr>
      <w:bookmarkStart w:id="5" w:name="_GoBack"/>
      <w:r w:rsidRPr="00297ADF">
        <w:rPr>
          <w:noProof/>
          <w:lang w:eastAsia="es-MX"/>
        </w:rPr>
        <w:drawing>
          <wp:inline distT="0" distB="0" distL="0" distR="0" wp14:anchorId="323E9610" wp14:editId="260F9F02">
            <wp:extent cx="6331585" cy="2956867"/>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1585" cy="2956867"/>
                    </a:xfrm>
                    <a:prstGeom prst="rect">
                      <a:avLst/>
                    </a:prstGeom>
                    <a:noFill/>
                    <a:ln>
                      <a:noFill/>
                    </a:ln>
                  </pic:spPr>
                </pic:pic>
              </a:graphicData>
            </a:graphic>
          </wp:inline>
        </w:drawing>
      </w:r>
      <w:bookmarkEnd w:id="5"/>
    </w:p>
    <w:p w14:paraId="3BEF6CF1" w14:textId="77777777" w:rsidR="00297ADF" w:rsidRPr="00297ADF" w:rsidRDefault="00297ADF" w:rsidP="00297ADF">
      <w:pPr>
        <w:widowControl w:val="0"/>
        <w:jc w:val="both"/>
        <w:rPr>
          <w:rFonts w:ascii="Arial" w:eastAsia="Calibri" w:hAnsi="Arial" w:cs="Arial"/>
          <w:sz w:val="20"/>
          <w:szCs w:val="20"/>
        </w:rPr>
      </w:pPr>
    </w:p>
    <w:p w14:paraId="6B333D81" w14:textId="77777777" w:rsidR="00297ADF" w:rsidRPr="00297ADF" w:rsidRDefault="00297ADF" w:rsidP="00297ADF">
      <w:pPr>
        <w:widowControl w:val="0"/>
        <w:jc w:val="both"/>
        <w:rPr>
          <w:rFonts w:ascii="Arial" w:eastAsia="Calibri" w:hAnsi="Arial" w:cs="Arial"/>
          <w:sz w:val="20"/>
          <w:szCs w:val="20"/>
        </w:rPr>
      </w:pPr>
    </w:p>
    <w:p w14:paraId="27CB638B" w14:textId="77777777" w:rsidR="00297ADF" w:rsidRPr="00297ADF" w:rsidRDefault="00297ADF" w:rsidP="00297ADF">
      <w:pPr>
        <w:widowControl w:val="0"/>
        <w:jc w:val="both"/>
        <w:rPr>
          <w:rFonts w:ascii="Arial" w:eastAsia="Calibri" w:hAnsi="Arial" w:cs="Arial"/>
          <w:sz w:val="20"/>
          <w:szCs w:val="20"/>
        </w:rPr>
      </w:pPr>
    </w:p>
    <w:p w14:paraId="40B691B4" w14:textId="77777777" w:rsidR="00297ADF" w:rsidRPr="00297ADF" w:rsidRDefault="00297ADF" w:rsidP="00297ADF">
      <w:pPr>
        <w:widowControl w:val="0"/>
        <w:jc w:val="both"/>
        <w:rPr>
          <w:rFonts w:ascii="Arial" w:eastAsia="Calibri" w:hAnsi="Arial" w:cs="Arial"/>
          <w:sz w:val="20"/>
          <w:szCs w:val="20"/>
        </w:rPr>
      </w:pPr>
    </w:p>
    <w:p w14:paraId="370087CC"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lastRenderedPageBreak/>
        <w:drawing>
          <wp:inline distT="0" distB="0" distL="0" distR="0" wp14:anchorId="4053D63C" wp14:editId="6B4E92B6">
            <wp:extent cx="6331585" cy="558552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31585" cy="5585522"/>
                    </a:xfrm>
                    <a:prstGeom prst="rect">
                      <a:avLst/>
                    </a:prstGeom>
                    <a:noFill/>
                    <a:ln>
                      <a:noFill/>
                    </a:ln>
                  </pic:spPr>
                </pic:pic>
              </a:graphicData>
            </a:graphic>
          </wp:inline>
        </w:drawing>
      </w:r>
    </w:p>
    <w:p w14:paraId="2A667C0C" w14:textId="77777777" w:rsidR="00297ADF" w:rsidRPr="00297ADF" w:rsidRDefault="00297ADF" w:rsidP="00297ADF">
      <w:pPr>
        <w:widowControl w:val="0"/>
        <w:jc w:val="both"/>
        <w:rPr>
          <w:rFonts w:ascii="Arial" w:eastAsia="Calibri" w:hAnsi="Arial" w:cs="Arial"/>
          <w:sz w:val="20"/>
          <w:szCs w:val="20"/>
        </w:rPr>
      </w:pPr>
    </w:p>
    <w:p w14:paraId="38B19128" w14:textId="77777777" w:rsidR="00297ADF" w:rsidRPr="00297ADF" w:rsidRDefault="00297ADF" w:rsidP="00297ADF">
      <w:pPr>
        <w:widowControl w:val="0"/>
        <w:jc w:val="both"/>
        <w:rPr>
          <w:rFonts w:ascii="Arial" w:eastAsia="Calibri" w:hAnsi="Arial" w:cs="Arial"/>
          <w:sz w:val="20"/>
          <w:szCs w:val="20"/>
        </w:rPr>
      </w:pPr>
    </w:p>
    <w:p w14:paraId="0F1A793C" w14:textId="77777777" w:rsidR="00297ADF" w:rsidRPr="00297ADF" w:rsidRDefault="00297ADF" w:rsidP="00297ADF">
      <w:pPr>
        <w:widowControl w:val="0"/>
        <w:jc w:val="both"/>
        <w:rPr>
          <w:rFonts w:ascii="Arial" w:eastAsia="Calibri" w:hAnsi="Arial" w:cs="Arial"/>
          <w:sz w:val="20"/>
          <w:szCs w:val="20"/>
        </w:rPr>
      </w:pPr>
    </w:p>
    <w:p w14:paraId="05A9B423" w14:textId="77777777" w:rsidR="00297ADF" w:rsidRPr="00297ADF" w:rsidRDefault="00297ADF" w:rsidP="00297ADF">
      <w:pPr>
        <w:widowControl w:val="0"/>
        <w:jc w:val="both"/>
        <w:rPr>
          <w:rFonts w:ascii="Arial" w:eastAsia="Calibri" w:hAnsi="Arial" w:cs="Arial"/>
          <w:sz w:val="20"/>
          <w:szCs w:val="20"/>
        </w:rPr>
      </w:pPr>
    </w:p>
    <w:p w14:paraId="5A70652D"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lastRenderedPageBreak/>
        <w:drawing>
          <wp:inline distT="0" distB="0" distL="0" distR="0" wp14:anchorId="405F44EE" wp14:editId="21E43F32">
            <wp:extent cx="6331585" cy="474856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31585" cy="4748563"/>
                    </a:xfrm>
                    <a:prstGeom prst="rect">
                      <a:avLst/>
                    </a:prstGeom>
                    <a:noFill/>
                    <a:ln>
                      <a:noFill/>
                    </a:ln>
                  </pic:spPr>
                </pic:pic>
              </a:graphicData>
            </a:graphic>
          </wp:inline>
        </w:drawing>
      </w:r>
    </w:p>
    <w:p w14:paraId="24E64D9C" w14:textId="04DD4B47" w:rsidR="00297ADF" w:rsidRDefault="00297ADF" w:rsidP="00297ADF">
      <w:pPr>
        <w:widowControl w:val="0"/>
        <w:jc w:val="both"/>
        <w:rPr>
          <w:rFonts w:ascii="Arial" w:eastAsia="Calibri" w:hAnsi="Arial" w:cs="Arial"/>
          <w:sz w:val="20"/>
          <w:szCs w:val="20"/>
        </w:rPr>
      </w:pPr>
    </w:p>
    <w:p w14:paraId="389D8722" w14:textId="77777777" w:rsidR="000346E4" w:rsidRPr="00297ADF" w:rsidRDefault="000346E4" w:rsidP="00297ADF">
      <w:pPr>
        <w:widowControl w:val="0"/>
        <w:jc w:val="both"/>
        <w:rPr>
          <w:rFonts w:ascii="Arial" w:eastAsia="Calibri" w:hAnsi="Arial" w:cs="Arial"/>
          <w:sz w:val="20"/>
          <w:szCs w:val="20"/>
        </w:rPr>
      </w:pPr>
    </w:p>
    <w:p w14:paraId="323C207B" w14:textId="77777777" w:rsidR="00297ADF" w:rsidRPr="00297ADF" w:rsidRDefault="00297ADF" w:rsidP="00297ADF">
      <w:pPr>
        <w:widowControl w:val="0"/>
        <w:jc w:val="both"/>
        <w:rPr>
          <w:rFonts w:ascii="Arial" w:eastAsia="Calibri" w:hAnsi="Arial" w:cs="Arial"/>
          <w:sz w:val="20"/>
          <w:szCs w:val="20"/>
        </w:rPr>
      </w:pPr>
    </w:p>
    <w:p w14:paraId="47B6DB1C"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drawing>
          <wp:inline distT="0" distB="0" distL="0" distR="0" wp14:anchorId="4C5927BF" wp14:editId="1356A846">
            <wp:extent cx="6331585" cy="255082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31585" cy="2550821"/>
                    </a:xfrm>
                    <a:prstGeom prst="rect">
                      <a:avLst/>
                    </a:prstGeom>
                    <a:noFill/>
                    <a:ln>
                      <a:noFill/>
                    </a:ln>
                  </pic:spPr>
                </pic:pic>
              </a:graphicData>
            </a:graphic>
          </wp:inline>
        </w:drawing>
      </w:r>
    </w:p>
    <w:p w14:paraId="4D00A580" w14:textId="77777777" w:rsidR="00297ADF" w:rsidRPr="00297ADF" w:rsidRDefault="00297ADF" w:rsidP="00297ADF">
      <w:pPr>
        <w:widowControl w:val="0"/>
        <w:jc w:val="both"/>
        <w:rPr>
          <w:rFonts w:ascii="Arial" w:eastAsia="Calibri" w:hAnsi="Arial" w:cs="Arial"/>
          <w:sz w:val="20"/>
          <w:szCs w:val="20"/>
        </w:rPr>
      </w:pPr>
    </w:p>
    <w:p w14:paraId="2CDA01A8" w14:textId="77777777" w:rsidR="00297ADF" w:rsidRPr="00297ADF" w:rsidRDefault="00297ADF" w:rsidP="00297ADF">
      <w:pPr>
        <w:widowControl w:val="0"/>
        <w:jc w:val="both"/>
        <w:rPr>
          <w:rFonts w:ascii="Arial" w:eastAsia="Calibri" w:hAnsi="Arial" w:cs="Arial"/>
          <w:sz w:val="20"/>
          <w:szCs w:val="20"/>
        </w:rPr>
      </w:pPr>
    </w:p>
    <w:p w14:paraId="427E61EC"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lastRenderedPageBreak/>
        <w:drawing>
          <wp:inline distT="0" distB="0" distL="0" distR="0" wp14:anchorId="7E824FC1" wp14:editId="683AA682">
            <wp:extent cx="6331585" cy="3172126"/>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31585" cy="3172126"/>
                    </a:xfrm>
                    <a:prstGeom prst="rect">
                      <a:avLst/>
                    </a:prstGeom>
                    <a:noFill/>
                    <a:ln>
                      <a:noFill/>
                    </a:ln>
                  </pic:spPr>
                </pic:pic>
              </a:graphicData>
            </a:graphic>
          </wp:inline>
        </w:drawing>
      </w:r>
    </w:p>
    <w:p w14:paraId="057F770D" w14:textId="77777777" w:rsidR="00297ADF" w:rsidRPr="00297ADF" w:rsidRDefault="00297ADF" w:rsidP="00297ADF">
      <w:pPr>
        <w:widowControl w:val="0"/>
        <w:jc w:val="both"/>
        <w:rPr>
          <w:rFonts w:ascii="Arial" w:eastAsia="Calibri" w:hAnsi="Arial" w:cs="Arial"/>
          <w:sz w:val="20"/>
          <w:szCs w:val="20"/>
        </w:rPr>
      </w:pPr>
    </w:p>
    <w:p w14:paraId="0606D8CF" w14:textId="0B4EC9FE" w:rsidR="00297ADF" w:rsidRDefault="00297ADF" w:rsidP="00297ADF">
      <w:pPr>
        <w:widowControl w:val="0"/>
        <w:jc w:val="both"/>
        <w:rPr>
          <w:rFonts w:ascii="Arial" w:eastAsia="Calibri" w:hAnsi="Arial" w:cs="Arial"/>
          <w:sz w:val="20"/>
          <w:szCs w:val="20"/>
        </w:rPr>
      </w:pPr>
    </w:p>
    <w:p w14:paraId="68A7CF7E" w14:textId="77777777" w:rsidR="000346E4" w:rsidRPr="00297ADF" w:rsidRDefault="000346E4" w:rsidP="00297ADF">
      <w:pPr>
        <w:widowControl w:val="0"/>
        <w:jc w:val="both"/>
        <w:rPr>
          <w:rFonts w:ascii="Arial" w:eastAsia="Calibri" w:hAnsi="Arial" w:cs="Arial"/>
          <w:sz w:val="20"/>
          <w:szCs w:val="20"/>
        </w:rPr>
      </w:pPr>
    </w:p>
    <w:p w14:paraId="4FB841AF"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drawing>
          <wp:inline distT="0" distB="0" distL="0" distR="0" wp14:anchorId="2D12ABC2" wp14:editId="405405D9">
            <wp:extent cx="6331585" cy="487532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31585" cy="4875320"/>
                    </a:xfrm>
                    <a:prstGeom prst="rect">
                      <a:avLst/>
                    </a:prstGeom>
                    <a:noFill/>
                    <a:ln>
                      <a:noFill/>
                    </a:ln>
                  </pic:spPr>
                </pic:pic>
              </a:graphicData>
            </a:graphic>
          </wp:inline>
        </w:drawing>
      </w:r>
    </w:p>
    <w:p w14:paraId="6ABCB129"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lastRenderedPageBreak/>
        <w:drawing>
          <wp:inline distT="0" distB="0" distL="0" distR="0" wp14:anchorId="72711D89" wp14:editId="78870A73">
            <wp:extent cx="6331585" cy="5698427"/>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31585" cy="5698427"/>
                    </a:xfrm>
                    <a:prstGeom prst="rect">
                      <a:avLst/>
                    </a:prstGeom>
                    <a:noFill/>
                    <a:ln>
                      <a:noFill/>
                    </a:ln>
                  </pic:spPr>
                </pic:pic>
              </a:graphicData>
            </a:graphic>
          </wp:inline>
        </w:drawing>
      </w:r>
    </w:p>
    <w:p w14:paraId="63E562E2" w14:textId="77777777" w:rsidR="00297ADF" w:rsidRPr="00297ADF" w:rsidRDefault="00297ADF" w:rsidP="00297ADF">
      <w:pPr>
        <w:widowControl w:val="0"/>
        <w:jc w:val="both"/>
        <w:rPr>
          <w:rFonts w:ascii="Arial" w:eastAsia="Calibri" w:hAnsi="Arial" w:cs="Arial"/>
          <w:sz w:val="20"/>
          <w:szCs w:val="20"/>
        </w:rPr>
      </w:pPr>
    </w:p>
    <w:p w14:paraId="720F7501" w14:textId="77777777" w:rsidR="00297ADF" w:rsidRPr="00297ADF" w:rsidRDefault="00297ADF" w:rsidP="00297ADF">
      <w:pPr>
        <w:widowControl w:val="0"/>
        <w:jc w:val="both"/>
        <w:rPr>
          <w:rFonts w:ascii="Arial" w:eastAsia="Calibri" w:hAnsi="Arial" w:cs="Arial"/>
          <w:sz w:val="20"/>
          <w:szCs w:val="20"/>
        </w:rPr>
      </w:pPr>
    </w:p>
    <w:p w14:paraId="56089FB2" w14:textId="77777777" w:rsidR="00297ADF" w:rsidRPr="00297ADF" w:rsidRDefault="00297ADF" w:rsidP="000346E4">
      <w:pPr>
        <w:widowControl w:val="0"/>
        <w:jc w:val="center"/>
        <w:rPr>
          <w:rFonts w:ascii="Arial" w:eastAsia="Calibri" w:hAnsi="Arial" w:cs="Arial"/>
          <w:sz w:val="20"/>
          <w:szCs w:val="20"/>
        </w:rPr>
      </w:pPr>
      <w:r w:rsidRPr="00297ADF">
        <w:rPr>
          <w:noProof/>
          <w:lang w:eastAsia="es-MX"/>
        </w:rPr>
        <w:lastRenderedPageBreak/>
        <w:drawing>
          <wp:inline distT="0" distB="0" distL="0" distR="0" wp14:anchorId="6FA8DD61" wp14:editId="3C41B8F7">
            <wp:extent cx="6331585" cy="3483952"/>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31585" cy="3483952"/>
                    </a:xfrm>
                    <a:prstGeom prst="rect">
                      <a:avLst/>
                    </a:prstGeom>
                    <a:noFill/>
                    <a:ln>
                      <a:noFill/>
                    </a:ln>
                  </pic:spPr>
                </pic:pic>
              </a:graphicData>
            </a:graphic>
          </wp:inline>
        </w:drawing>
      </w:r>
    </w:p>
    <w:p w14:paraId="23E36514" w14:textId="77777777" w:rsidR="00297ADF" w:rsidRPr="00297ADF" w:rsidRDefault="00297ADF" w:rsidP="00297ADF">
      <w:pPr>
        <w:widowControl w:val="0"/>
        <w:jc w:val="center"/>
        <w:rPr>
          <w:rFonts w:ascii="Arial" w:eastAsia="Calibri" w:hAnsi="Arial" w:cs="Arial"/>
          <w:sz w:val="20"/>
          <w:szCs w:val="20"/>
        </w:rPr>
      </w:pPr>
      <w:r w:rsidRPr="00297ADF">
        <w:rPr>
          <w:noProof/>
          <w:lang w:eastAsia="es-MX"/>
        </w:rPr>
        <w:lastRenderedPageBreak/>
        <w:drawing>
          <wp:inline distT="0" distB="0" distL="0" distR="0" wp14:anchorId="4061B6C5" wp14:editId="7FAD71A3">
            <wp:extent cx="6331585" cy="695339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31585" cy="6953395"/>
                    </a:xfrm>
                    <a:prstGeom prst="rect">
                      <a:avLst/>
                    </a:prstGeom>
                    <a:noFill/>
                    <a:ln>
                      <a:noFill/>
                    </a:ln>
                  </pic:spPr>
                </pic:pic>
              </a:graphicData>
            </a:graphic>
          </wp:inline>
        </w:drawing>
      </w:r>
    </w:p>
    <w:p w14:paraId="65A97BF1" w14:textId="77777777" w:rsidR="00297ADF" w:rsidRPr="00297ADF" w:rsidRDefault="00297ADF" w:rsidP="00297ADF">
      <w:pPr>
        <w:widowControl w:val="0"/>
        <w:jc w:val="both"/>
        <w:rPr>
          <w:rFonts w:ascii="Arial" w:eastAsia="Calibri" w:hAnsi="Arial" w:cs="Arial"/>
          <w:sz w:val="20"/>
          <w:szCs w:val="20"/>
        </w:rPr>
      </w:pPr>
    </w:p>
    <w:p w14:paraId="3204B7ED" w14:textId="77777777" w:rsidR="00297ADF" w:rsidRPr="00297ADF" w:rsidRDefault="00297ADF" w:rsidP="00297ADF">
      <w:pPr>
        <w:widowControl w:val="0"/>
        <w:jc w:val="both"/>
        <w:rPr>
          <w:rFonts w:ascii="Arial" w:eastAsia="Calibri" w:hAnsi="Arial" w:cs="Arial"/>
          <w:sz w:val="20"/>
          <w:szCs w:val="20"/>
        </w:rPr>
      </w:pPr>
    </w:p>
    <w:p w14:paraId="7A10BDBC" w14:textId="77777777" w:rsidR="00297ADF" w:rsidRPr="00297ADF" w:rsidRDefault="00297ADF" w:rsidP="00297ADF">
      <w:pPr>
        <w:widowControl w:val="0"/>
        <w:jc w:val="both"/>
        <w:rPr>
          <w:rFonts w:ascii="Arial" w:eastAsia="Calibri" w:hAnsi="Arial" w:cs="Arial"/>
          <w:sz w:val="20"/>
          <w:szCs w:val="20"/>
        </w:rPr>
      </w:pPr>
    </w:p>
    <w:p w14:paraId="6F4BCFCD" w14:textId="77777777" w:rsidR="00297ADF" w:rsidRPr="00297ADF" w:rsidRDefault="00297ADF" w:rsidP="00297ADF">
      <w:pPr>
        <w:widowControl w:val="0"/>
        <w:jc w:val="both"/>
        <w:rPr>
          <w:rFonts w:ascii="Arial" w:eastAsia="Calibri" w:hAnsi="Arial" w:cs="Arial"/>
          <w:sz w:val="20"/>
          <w:szCs w:val="20"/>
        </w:rPr>
      </w:pPr>
    </w:p>
    <w:p w14:paraId="4A6FEB13" w14:textId="77777777" w:rsidR="00297ADF" w:rsidRPr="00297ADF" w:rsidRDefault="00297ADF" w:rsidP="00297ADF">
      <w:pPr>
        <w:widowControl w:val="0"/>
        <w:jc w:val="both"/>
        <w:rPr>
          <w:rFonts w:ascii="Arial" w:eastAsia="Calibri" w:hAnsi="Arial" w:cs="Arial"/>
          <w:sz w:val="20"/>
          <w:szCs w:val="20"/>
        </w:rPr>
      </w:pPr>
    </w:p>
    <w:bookmarkEnd w:id="0"/>
    <w:p w14:paraId="429A1EA1" w14:textId="77777777" w:rsidR="00297ADF" w:rsidRPr="00297ADF" w:rsidRDefault="00297ADF" w:rsidP="00297ADF">
      <w:pPr>
        <w:widowControl w:val="0"/>
        <w:jc w:val="both"/>
        <w:rPr>
          <w:rFonts w:ascii="Arial" w:eastAsia="Calibri" w:hAnsi="Arial" w:cs="Times New Roman"/>
          <w:noProof/>
          <w:sz w:val="20"/>
          <w:lang w:eastAsia="es-MX"/>
        </w:rPr>
      </w:pPr>
    </w:p>
    <w:p w14:paraId="2D95E174" w14:textId="77777777" w:rsidR="00297ADF" w:rsidRPr="00297ADF" w:rsidRDefault="00297ADF" w:rsidP="00297ADF">
      <w:pPr>
        <w:widowControl w:val="0"/>
        <w:jc w:val="both"/>
        <w:rPr>
          <w:rFonts w:ascii="Arial" w:eastAsia="Calibri" w:hAnsi="Arial" w:cs="Arial"/>
          <w:sz w:val="20"/>
          <w:szCs w:val="20"/>
        </w:rPr>
      </w:pPr>
    </w:p>
    <w:p w14:paraId="69F6E63F" w14:textId="77777777" w:rsidR="00297ADF" w:rsidRPr="00297ADF" w:rsidRDefault="00297ADF" w:rsidP="00297ADF">
      <w:pPr>
        <w:widowControl w:val="0"/>
        <w:jc w:val="both"/>
        <w:rPr>
          <w:rFonts w:ascii="Arial" w:eastAsia="Calibri" w:hAnsi="Arial" w:cs="Arial"/>
          <w:sz w:val="20"/>
          <w:szCs w:val="20"/>
        </w:rPr>
      </w:pPr>
    </w:p>
    <w:p w14:paraId="3FEBE730" w14:textId="77777777" w:rsidR="00297ADF" w:rsidRPr="00297ADF" w:rsidRDefault="00297ADF" w:rsidP="000346E4">
      <w:pPr>
        <w:widowControl w:val="0"/>
        <w:jc w:val="center"/>
        <w:rPr>
          <w:rFonts w:ascii="Arial" w:eastAsia="Calibri" w:hAnsi="Arial" w:cs="Arial"/>
          <w:sz w:val="20"/>
          <w:szCs w:val="20"/>
        </w:rPr>
      </w:pPr>
      <w:r w:rsidRPr="00297ADF">
        <w:rPr>
          <w:noProof/>
          <w:lang w:eastAsia="es-MX"/>
        </w:rPr>
        <w:lastRenderedPageBreak/>
        <w:drawing>
          <wp:inline distT="0" distB="0" distL="0" distR="0" wp14:anchorId="3BED84C2" wp14:editId="220ADAC6">
            <wp:extent cx="6331585" cy="3747937"/>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31585" cy="3747937"/>
                    </a:xfrm>
                    <a:prstGeom prst="rect">
                      <a:avLst/>
                    </a:prstGeom>
                    <a:noFill/>
                    <a:ln>
                      <a:noFill/>
                    </a:ln>
                  </pic:spPr>
                </pic:pic>
              </a:graphicData>
            </a:graphic>
          </wp:inline>
        </w:drawing>
      </w:r>
    </w:p>
    <w:p w14:paraId="5810F048" w14:textId="77777777" w:rsidR="00297ADF" w:rsidRPr="00297ADF" w:rsidRDefault="00297ADF" w:rsidP="00297ADF">
      <w:pPr>
        <w:jc w:val="both"/>
        <w:outlineLvl w:val="0"/>
        <w:rPr>
          <w:rFonts w:ascii="Arial" w:eastAsia="Calibri" w:hAnsi="Arial" w:cs="Arial"/>
          <w:sz w:val="20"/>
          <w:szCs w:val="20"/>
        </w:rPr>
      </w:pPr>
    </w:p>
    <w:p w14:paraId="10530483" w14:textId="1D5E51CA" w:rsidR="00A60688" w:rsidRPr="00297ADF" w:rsidRDefault="00A60688" w:rsidP="00297ADF"/>
    <w:sectPr w:rsidR="00A60688" w:rsidRPr="00297ADF" w:rsidSect="00C70B2C">
      <w:headerReference w:type="even" r:id="rId65"/>
      <w:headerReference w:type="default" r:id="rId66"/>
      <w:footerReference w:type="even" r:id="rId67"/>
      <w:footerReference w:type="default" r:id="rId68"/>
      <w:type w:val="continuous"/>
      <w:pgSz w:w="12240" w:h="15840" w:code="122"/>
      <w:pgMar w:top="567" w:right="851" w:bottom="567" w:left="851" w:header="709" w:footer="709" w:gutter="0"/>
      <w:pgNumType w:start="6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EDF3" w14:textId="77777777" w:rsidR="00167C29" w:rsidRDefault="00167C29" w:rsidP="00DB7283">
      <w:r>
        <w:separator/>
      </w:r>
    </w:p>
  </w:endnote>
  <w:endnote w:type="continuationSeparator" w:id="0">
    <w:p w14:paraId="16755F10" w14:textId="77777777" w:rsidR="00167C29" w:rsidRDefault="00167C29"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Cambria"/>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16E4" w14:textId="77777777" w:rsidR="00167C29" w:rsidRPr="00FC6C71" w:rsidRDefault="00167C29" w:rsidP="005C384A">
    <w:pPr>
      <w:pStyle w:val="Piedepgina"/>
      <w:rPr>
        <w:rStyle w:val="Nmerodepgina"/>
        <w:rFonts w:ascii="Arial" w:eastAsia="Kozuka Gothic Pro M" w:hAnsi="Arial" w:cs="Arial"/>
        <w:sz w:val="18"/>
        <w:szCs w:val="18"/>
      </w:rPr>
    </w:pPr>
  </w:p>
  <w:p w14:paraId="2B46261C" w14:textId="77777777" w:rsidR="00167C29" w:rsidRPr="006A44C4" w:rsidRDefault="00167C29" w:rsidP="00D66837">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Pr>
        <w:rStyle w:val="Nmerodepgina"/>
        <w:rFonts w:ascii="GothamMedium" w:eastAsia="Kozuka Gothic Pro M" w:hAnsi="GothamMedium" w:cs="Arial"/>
        <w:noProof/>
        <w:sz w:val="18"/>
        <w:szCs w:val="20"/>
      </w:rPr>
      <w:t>638</w:t>
    </w:r>
    <w:r w:rsidRPr="006A44C4">
      <w:rPr>
        <w:rStyle w:val="Nmerodepgina"/>
        <w:rFonts w:ascii="GothamMedium" w:eastAsia="Kozuka Gothic Pro M" w:hAnsi="GothamMedium" w:cs="Arial"/>
        <w:sz w:val="18"/>
        <w:szCs w:val="20"/>
      </w:rPr>
      <w:fldChar w:fldCharType="end"/>
    </w:r>
  </w:p>
  <w:p w14:paraId="3D30CE9F" w14:textId="77777777" w:rsidR="00167C29" w:rsidRPr="005C384A" w:rsidRDefault="00167C29" w:rsidP="005C384A">
    <w:pPr>
      <w:pStyle w:val="Piedepgina"/>
      <w:rPr>
        <w:rFonts w:ascii="Arial" w:hAnsi="Arial" w:cs="Arial"/>
        <w:sz w:val="18"/>
        <w:szCs w:val="18"/>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7F32" w14:textId="77777777" w:rsidR="00167C29" w:rsidRPr="00AD3B44" w:rsidRDefault="00167C29" w:rsidP="00AD3B44">
    <w:pPr>
      <w:pStyle w:val="Textoindependiente"/>
      <w:spacing w:after="0"/>
      <w:ind w:left="357" w:firstLine="357"/>
      <w:jc w:val="right"/>
      <w:rPr>
        <w:rFonts w:ascii="Romana BT" w:eastAsia="Times New Roman" w:hAnsi="Romana BT" w:cs="Arial"/>
        <w:b/>
        <w:iCs/>
        <w:sz w:val="15"/>
        <w:szCs w:val="15"/>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6039" w14:textId="77777777" w:rsidR="00167C29" w:rsidRDefault="00167C29" w:rsidP="00DB7283">
      <w:r>
        <w:separator/>
      </w:r>
    </w:p>
  </w:footnote>
  <w:footnote w:type="continuationSeparator" w:id="0">
    <w:p w14:paraId="53EA5440" w14:textId="77777777" w:rsidR="00167C29" w:rsidRDefault="00167C29"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2810" w14:textId="77777777" w:rsidR="00167C29" w:rsidRDefault="00167C29" w:rsidP="00D66837">
    <w:pPr>
      <w:pStyle w:val="Encabezado"/>
      <w:spacing w:after="120"/>
      <w:rPr>
        <w:rFonts w:cs="Arial"/>
      </w:rPr>
    </w:pPr>
    <w:r>
      <w:rPr>
        <w:noProof/>
        <w:lang w:eastAsia="es-MX"/>
      </w:rPr>
      <w:drawing>
        <wp:anchor distT="0" distB="0" distL="114300" distR="114300" simplePos="0" relativeHeight="251656704" behindDoc="0" locked="0" layoutInCell="1" allowOverlap="1" wp14:anchorId="5D6A5057" wp14:editId="5298F70A">
          <wp:simplePos x="0" y="0"/>
          <wp:positionH relativeFrom="margin">
            <wp:posOffset>-1270</wp:posOffset>
          </wp:positionH>
          <wp:positionV relativeFrom="paragraph">
            <wp:posOffset>-92075</wp:posOffset>
          </wp:positionV>
          <wp:extent cx="1454785" cy="381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l="3320" t="11125" b="10339"/>
                  <a:stretch>
                    <a:fillRect/>
                  </a:stretch>
                </pic:blipFill>
                <pic:spPr bwMode="auto">
                  <a:xfrm>
                    <a:off x="0" y="0"/>
                    <a:ext cx="1454785" cy="381000"/>
                  </a:xfrm>
                  <a:prstGeom prst="rect">
                    <a:avLst/>
                  </a:prstGeom>
                  <a:noFill/>
                </pic:spPr>
              </pic:pic>
            </a:graphicData>
          </a:graphic>
          <wp14:sizeRelH relativeFrom="page">
            <wp14:pctWidth>0</wp14:pctWidth>
          </wp14:sizeRelH>
          <wp14:sizeRelV relativeFrom="page">
            <wp14:pctHeight>0</wp14:pctHeight>
          </wp14:sizeRelV>
        </wp:anchor>
      </w:drawing>
    </w:r>
    <w:bookmarkStart w:id="6" w:name="_Hlk124766720"/>
    <w:bookmarkStart w:id="7" w:name="_Hlk124766719"/>
  </w:p>
  <w:bookmarkEnd w:id="6"/>
  <w:bookmarkEnd w:id="7"/>
  <w:p w14:paraId="00E7DDAF" w14:textId="77777777" w:rsidR="00167C29" w:rsidRDefault="00167C29" w:rsidP="00D668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A8D3" w14:textId="77777777" w:rsidR="00167C29" w:rsidRDefault="00167C29" w:rsidP="00A14B8E">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7728" behindDoc="0" locked="0" layoutInCell="1" allowOverlap="1" wp14:anchorId="2004175A" wp14:editId="5800AE3D">
              <wp:simplePos x="0" y="0"/>
              <wp:positionH relativeFrom="margin">
                <wp:posOffset>927735</wp:posOffset>
              </wp:positionH>
              <wp:positionV relativeFrom="paragraph">
                <wp:posOffset>-214630</wp:posOffset>
              </wp:positionV>
              <wp:extent cx="4837430" cy="381000"/>
              <wp:effectExtent l="0" t="0" r="0" b="0"/>
              <wp:wrapNone/>
              <wp:docPr id="5280524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55E2" w14:textId="77777777" w:rsidR="00167C29" w:rsidRPr="00A14B8E" w:rsidRDefault="00167C29" w:rsidP="00A14B8E">
                          <w:pPr>
                            <w:jc w:val="center"/>
                            <w:rPr>
                              <w:rFonts w:ascii="HelveticaNeueLT Std Lt" w:eastAsia="Kozuka Gothic Pro B" w:hAnsi="HelveticaNeueLT Std Lt"/>
                              <w:b/>
                              <w:sz w:val="20"/>
                              <w:szCs w:val="20"/>
                            </w:rPr>
                          </w:pPr>
                          <w:r w:rsidRPr="00A14B8E">
                            <w:rPr>
                              <w:rFonts w:ascii="HelveticaNeueLT Std Lt" w:eastAsia="Kozuka Gothic Pro B" w:hAnsi="HelveticaNeueLT Std Lt"/>
                              <w:b/>
                              <w:sz w:val="20"/>
                              <w:szCs w:val="20"/>
                            </w:rPr>
                            <w:t>GOBIERNO ESTATAL</w:t>
                          </w:r>
                        </w:p>
                        <w:p w14:paraId="50029C16" w14:textId="5BF4B6F6" w:rsidR="00167C29" w:rsidRPr="00A14B8E" w:rsidRDefault="00167C29" w:rsidP="00A14B8E">
                          <w:pPr>
                            <w:jc w:val="center"/>
                            <w:rPr>
                              <w:rFonts w:ascii="HelveticaNeueLT Std Lt" w:eastAsia="Kozuka Gothic Pro B" w:hAnsi="HelveticaNeueLT Std Lt"/>
                              <w:sz w:val="20"/>
                              <w:szCs w:val="20"/>
                            </w:rPr>
                          </w:pPr>
                          <w:r w:rsidRPr="00A14B8E">
                            <w:rPr>
                              <w:rFonts w:ascii="HelveticaNeueLT Std Lt" w:eastAsia="Kozuka Gothic Pro B" w:hAnsi="HelveticaNeueLT Std Lt"/>
                              <w:sz w:val="20"/>
                              <w:szCs w:val="20"/>
                            </w:rPr>
                            <w:t>Estados e Información Contable al 1er. Trimestre 202</w:t>
                          </w:r>
                          <w:r>
                            <w:rPr>
                              <w:rFonts w:ascii="HelveticaNeueLT Std Lt" w:eastAsia="Kozuka Gothic Pro B" w:hAnsi="HelveticaNeueLT Std Lt"/>
                              <w:sz w:val="20"/>
                              <w:szCs w:val="20"/>
                            </w:rPr>
                            <w:t>4</w:t>
                          </w:r>
                        </w:p>
                        <w:p w14:paraId="0F2AE1CB" w14:textId="77777777" w:rsidR="00167C29" w:rsidRPr="00CB4010" w:rsidRDefault="00167C29" w:rsidP="00A14B8E">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175A"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KuvgIAAMI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" filled="f" stroked="f">
              <v:textbox>
                <w:txbxContent>
                  <w:p w14:paraId="390355E2" w14:textId="77777777" w:rsidR="00167C29" w:rsidRPr="00A14B8E" w:rsidRDefault="00167C29" w:rsidP="00A14B8E">
                    <w:pPr>
                      <w:jc w:val="center"/>
                      <w:rPr>
                        <w:rFonts w:ascii="HelveticaNeueLT Std Lt" w:eastAsia="Kozuka Gothic Pro B" w:hAnsi="HelveticaNeueLT Std Lt"/>
                        <w:b/>
                        <w:sz w:val="20"/>
                        <w:szCs w:val="20"/>
                      </w:rPr>
                    </w:pPr>
                    <w:r w:rsidRPr="00A14B8E">
                      <w:rPr>
                        <w:rFonts w:ascii="HelveticaNeueLT Std Lt" w:eastAsia="Kozuka Gothic Pro B" w:hAnsi="HelveticaNeueLT Std Lt"/>
                        <w:b/>
                        <w:sz w:val="20"/>
                        <w:szCs w:val="20"/>
                      </w:rPr>
                      <w:t>GOBIERNO ESTATAL</w:t>
                    </w:r>
                  </w:p>
                  <w:p w14:paraId="50029C16" w14:textId="5BF4B6F6" w:rsidR="00167C29" w:rsidRPr="00A14B8E" w:rsidRDefault="00167C29" w:rsidP="00A14B8E">
                    <w:pPr>
                      <w:jc w:val="center"/>
                      <w:rPr>
                        <w:rFonts w:ascii="HelveticaNeueLT Std Lt" w:eastAsia="Kozuka Gothic Pro B" w:hAnsi="HelveticaNeueLT Std Lt"/>
                        <w:sz w:val="20"/>
                        <w:szCs w:val="20"/>
                      </w:rPr>
                    </w:pPr>
                    <w:r w:rsidRPr="00A14B8E">
                      <w:rPr>
                        <w:rFonts w:ascii="HelveticaNeueLT Std Lt" w:eastAsia="Kozuka Gothic Pro B" w:hAnsi="HelveticaNeueLT Std Lt"/>
                        <w:sz w:val="20"/>
                        <w:szCs w:val="20"/>
                      </w:rPr>
                      <w:t>Estados e Información Contable al 1er. Trimestre 202</w:t>
                    </w:r>
                    <w:r>
                      <w:rPr>
                        <w:rFonts w:ascii="HelveticaNeueLT Std Lt" w:eastAsia="Kozuka Gothic Pro B" w:hAnsi="HelveticaNeueLT Std Lt"/>
                        <w:sz w:val="20"/>
                        <w:szCs w:val="20"/>
                      </w:rPr>
                      <w:t>4</w:t>
                    </w:r>
                  </w:p>
                  <w:p w14:paraId="0F2AE1CB" w14:textId="77777777" w:rsidR="00167C29" w:rsidRPr="00CB4010" w:rsidRDefault="00167C29" w:rsidP="00A14B8E">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752" behindDoc="1" locked="0" layoutInCell="1" allowOverlap="1" wp14:anchorId="2D292C22" wp14:editId="1F8EE341">
          <wp:simplePos x="0" y="0"/>
          <wp:positionH relativeFrom="page">
            <wp:align>right</wp:align>
          </wp:positionH>
          <wp:positionV relativeFrom="paragraph">
            <wp:posOffset>-231140</wp:posOffset>
          </wp:positionV>
          <wp:extent cx="7772400" cy="466725"/>
          <wp:effectExtent l="0" t="0" r="0" b="9525"/>
          <wp:wrapNone/>
          <wp:docPr id="1084822312" name="Imagen 108482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42FF7819" w14:textId="77777777" w:rsidR="00167C29" w:rsidRDefault="00167C29" w:rsidP="00A14B8E">
    <w:pPr>
      <w:pStyle w:val="Encabezado"/>
      <w:tabs>
        <w:tab w:val="left" w:pos="4860"/>
      </w:tabs>
      <w:ind w:right="846"/>
      <w:jc w:val="right"/>
      <w:rPr>
        <w:rFonts w:ascii="Romana BT" w:hAnsi="Romana BT"/>
        <w:b/>
        <w:sz w:val="16"/>
        <w:szCs w:val="16"/>
      </w:rPr>
    </w:pPr>
  </w:p>
  <w:p w14:paraId="5DAF41EE" w14:textId="77777777" w:rsidR="00167C29" w:rsidRPr="00BF6032" w:rsidRDefault="00167C29" w:rsidP="00A14B8E">
    <w:pPr>
      <w:pStyle w:val="Encabezado"/>
      <w:tabs>
        <w:tab w:val="left" w:pos="4860"/>
      </w:tabs>
      <w:ind w:right="846"/>
      <w:jc w:val="right"/>
      <w:rPr>
        <w:rFonts w:ascii="Romana BT" w:hAnsi="Romana BT"/>
        <w:b/>
        <w:sz w:val="16"/>
        <w:szCs w:val="16"/>
      </w:rPr>
    </w:pPr>
  </w:p>
  <w:p w14:paraId="2781220D" w14:textId="77777777" w:rsidR="00167C29" w:rsidRPr="00A14B8E" w:rsidRDefault="00167C29" w:rsidP="00A14B8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36FC2028"/>
    <w:multiLevelType w:val="hybridMultilevel"/>
    <w:tmpl w:val="76B43CB6"/>
    <w:lvl w:ilvl="0" w:tplc="981278EC">
      <w:start w:val="1"/>
      <w:numFmt w:val="decimal"/>
      <w:lvlText w:val="%1."/>
      <w:lvlJc w:val="left"/>
      <w:pPr>
        <w:ind w:left="360" w:hanging="360"/>
      </w:pPr>
      <w:rPr>
        <w:rFonts w:hint="default"/>
        <w:i w:val="0"/>
        <w:i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2"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0"/>
  </w:num>
  <w:num w:numId="2">
    <w:abstractNumId w:val="22"/>
  </w:num>
  <w:num w:numId="3">
    <w:abstractNumId w:val="33"/>
  </w:num>
  <w:num w:numId="4">
    <w:abstractNumId w:val="3"/>
  </w:num>
  <w:num w:numId="5">
    <w:abstractNumId w:val="2"/>
  </w:num>
  <w:num w:numId="6">
    <w:abstractNumId w:val="16"/>
  </w:num>
  <w:num w:numId="7">
    <w:abstractNumId w:val="35"/>
  </w:num>
  <w:num w:numId="8">
    <w:abstractNumId w:val="31"/>
  </w:num>
  <w:num w:numId="9">
    <w:abstractNumId w:val="34"/>
  </w:num>
  <w:num w:numId="10">
    <w:abstractNumId w:val="26"/>
  </w:num>
  <w:num w:numId="11">
    <w:abstractNumId w:val="4"/>
  </w:num>
  <w:num w:numId="12">
    <w:abstractNumId w:val="24"/>
  </w:num>
  <w:num w:numId="13">
    <w:abstractNumId w:val="29"/>
  </w:num>
  <w:num w:numId="14">
    <w:abstractNumId w:val="5"/>
  </w:num>
  <w:num w:numId="15">
    <w:abstractNumId w:val="36"/>
  </w:num>
  <w:num w:numId="16">
    <w:abstractNumId w:val="12"/>
  </w:num>
  <w:num w:numId="17">
    <w:abstractNumId w:val="15"/>
  </w:num>
  <w:num w:numId="18">
    <w:abstractNumId w:val="7"/>
  </w:num>
  <w:num w:numId="19">
    <w:abstractNumId w:val="28"/>
  </w:num>
  <w:num w:numId="20">
    <w:abstractNumId w:val="6"/>
  </w:num>
  <w:num w:numId="21">
    <w:abstractNumId w:val="32"/>
  </w:num>
  <w:num w:numId="22">
    <w:abstractNumId w:val="17"/>
  </w:num>
  <w:num w:numId="23">
    <w:abstractNumId w:val="9"/>
  </w:num>
  <w:num w:numId="24">
    <w:abstractNumId w:val="11"/>
  </w:num>
  <w:num w:numId="25">
    <w:abstractNumId w:val="19"/>
  </w:num>
  <w:num w:numId="26">
    <w:abstractNumId w:val="30"/>
  </w:num>
  <w:num w:numId="27">
    <w:abstractNumId w:val="10"/>
  </w:num>
  <w:num w:numId="28">
    <w:abstractNumId w:val="27"/>
  </w:num>
  <w:num w:numId="29">
    <w:abstractNumId w:val="8"/>
  </w:num>
  <w:num w:numId="30">
    <w:abstractNumId w:val="2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0"/>
  </w:num>
  <w:num w:numId="35">
    <w:abstractNumId w:val="13"/>
  </w:num>
  <w:num w:numId="36">
    <w:abstractNumId w:val="14"/>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04420"/>
    <w:rsid w:val="00006772"/>
    <w:rsid w:val="000116EA"/>
    <w:rsid w:val="0001317A"/>
    <w:rsid w:val="0001779F"/>
    <w:rsid w:val="00022BE2"/>
    <w:rsid w:val="0002371A"/>
    <w:rsid w:val="000346E4"/>
    <w:rsid w:val="0003477B"/>
    <w:rsid w:val="0003491C"/>
    <w:rsid w:val="0004487C"/>
    <w:rsid w:val="00046CEB"/>
    <w:rsid w:val="0006080B"/>
    <w:rsid w:val="00062442"/>
    <w:rsid w:val="0006258E"/>
    <w:rsid w:val="000641E9"/>
    <w:rsid w:val="00064BB7"/>
    <w:rsid w:val="00065EF3"/>
    <w:rsid w:val="00066BC4"/>
    <w:rsid w:val="00070C2E"/>
    <w:rsid w:val="00072541"/>
    <w:rsid w:val="00081178"/>
    <w:rsid w:val="00092DBD"/>
    <w:rsid w:val="000958E9"/>
    <w:rsid w:val="00097A00"/>
    <w:rsid w:val="00097C79"/>
    <w:rsid w:val="000A1384"/>
    <w:rsid w:val="000A2655"/>
    <w:rsid w:val="000A563B"/>
    <w:rsid w:val="000A74A8"/>
    <w:rsid w:val="000B0A35"/>
    <w:rsid w:val="000B2064"/>
    <w:rsid w:val="000B4661"/>
    <w:rsid w:val="000B74DF"/>
    <w:rsid w:val="000C442A"/>
    <w:rsid w:val="000C5EF7"/>
    <w:rsid w:val="000D4F10"/>
    <w:rsid w:val="000D64B3"/>
    <w:rsid w:val="000F4F96"/>
    <w:rsid w:val="000F750F"/>
    <w:rsid w:val="000F7E26"/>
    <w:rsid w:val="00102F1C"/>
    <w:rsid w:val="0010561A"/>
    <w:rsid w:val="00106647"/>
    <w:rsid w:val="00114860"/>
    <w:rsid w:val="00114ADE"/>
    <w:rsid w:val="00116485"/>
    <w:rsid w:val="00122864"/>
    <w:rsid w:val="0012373B"/>
    <w:rsid w:val="0012560E"/>
    <w:rsid w:val="0012561A"/>
    <w:rsid w:val="00125DEB"/>
    <w:rsid w:val="001270B1"/>
    <w:rsid w:val="0013453E"/>
    <w:rsid w:val="00134780"/>
    <w:rsid w:val="00142B12"/>
    <w:rsid w:val="00142C7E"/>
    <w:rsid w:val="00144466"/>
    <w:rsid w:val="001450FB"/>
    <w:rsid w:val="00147C26"/>
    <w:rsid w:val="0015395C"/>
    <w:rsid w:val="00154927"/>
    <w:rsid w:val="001600DD"/>
    <w:rsid w:val="001619E7"/>
    <w:rsid w:val="00166312"/>
    <w:rsid w:val="00167C29"/>
    <w:rsid w:val="00175343"/>
    <w:rsid w:val="00181395"/>
    <w:rsid w:val="00182DB8"/>
    <w:rsid w:val="001849EC"/>
    <w:rsid w:val="001936A0"/>
    <w:rsid w:val="001A282D"/>
    <w:rsid w:val="001A2C0F"/>
    <w:rsid w:val="001A375F"/>
    <w:rsid w:val="001C16BE"/>
    <w:rsid w:val="001C266A"/>
    <w:rsid w:val="001D497E"/>
    <w:rsid w:val="001D6D67"/>
    <w:rsid w:val="001D6E86"/>
    <w:rsid w:val="001E15AD"/>
    <w:rsid w:val="001E1F0B"/>
    <w:rsid w:val="001F2495"/>
    <w:rsid w:val="00201099"/>
    <w:rsid w:val="00202E61"/>
    <w:rsid w:val="00205947"/>
    <w:rsid w:val="002109E2"/>
    <w:rsid w:val="00210EF7"/>
    <w:rsid w:val="00212451"/>
    <w:rsid w:val="00212FC0"/>
    <w:rsid w:val="002136C1"/>
    <w:rsid w:val="00220048"/>
    <w:rsid w:val="00236D63"/>
    <w:rsid w:val="00237D77"/>
    <w:rsid w:val="00247CDF"/>
    <w:rsid w:val="002556F6"/>
    <w:rsid w:val="00255A6D"/>
    <w:rsid w:val="00260EF7"/>
    <w:rsid w:val="00261F2C"/>
    <w:rsid w:val="0026489A"/>
    <w:rsid w:val="00270A99"/>
    <w:rsid w:val="00273F56"/>
    <w:rsid w:val="00282565"/>
    <w:rsid w:val="00283254"/>
    <w:rsid w:val="00285E25"/>
    <w:rsid w:val="00287122"/>
    <w:rsid w:val="00293907"/>
    <w:rsid w:val="00293E00"/>
    <w:rsid w:val="0029544E"/>
    <w:rsid w:val="00296C59"/>
    <w:rsid w:val="00297ADF"/>
    <w:rsid w:val="002C4D5D"/>
    <w:rsid w:val="002D1F03"/>
    <w:rsid w:val="002F07ED"/>
    <w:rsid w:val="002F1446"/>
    <w:rsid w:val="002F785E"/>
    <w:rsid w:val="003008D5"/>
    <w:rsid w:val="0030338B"/>
    <w:rsid w:val="00304035"/>
    <w:rsid w:val="00307EF0"/>
    <w:rsid w:val="0031433C"/>
    <w:rsid w:val="003146D7"/>
    <w:rsid w:val="003174A0"/>
    <w:rsid w:val="00317BF4"/>
    <w:rsid w:val="00321199"/>
    <w:rsid w:val="0032335A"/>
    <w:rsid w:val="00331900"/>
    <w:rsid w:val="00333BC4"/>
    <w:rsid w:val="00337BF5"/>
    <w:rsid w:val="0035573C"/>
    <w:rsid w:val="00355E31"/>
    <w:rsid w:val="00360C95"/>
    <w:rsid w:val="0036156F"/>
    <w:rsid w:val="00361A11"/>
    <w:rsid w:val="00364949"/>
    <w:rsid w:val="00364D67"/>
    <w:rsid w:val="003673DC"/>
    <w:rsid w:val="0037302C"/>
    <w:rsid w:val="00387CCB"/>
    <w:rsid w:val="00387CFA"/>
    <w:rsid w:val="00390DED"/>
    <w:rsid w:val="00397737"/>
    <w:rsid w:val="003A214A"/>
    <w:rsid w:val="003A4E21"/>
    <w:rsid w:val="003A72AA"/>
    <w:rsid w:val="003B2359"/>
    <w:rsid w:val="003B56B9"/>
    <w:rsid w:val="003C0410"/>
    <w:rsid w:val="003C2BC2"/>
    <w:rsid w:val="003C6175"/>
    <w:rsid w:val="003C68AC"/>
    <w:rsid w:val="003D133A"/>
    <w:rsid w:val="003D785D"/>
    <w:rsid w:val="003E1598"/>
    <w:rsid w:val="003E2003"/>
    <w:rsid w:val="003F4484"/>
    <w:rsid w:val="003F452C"/>
    <w:rsid w:val="003F6852"/>
    <w:rsid w:val="00405C32"/>
    <w:rsid w:val="00412038"/>
    <w:rsid w:val="00415110"/>
    <w:rsid w:val="00422289"/>
    <w:rsid w:val="00422D8D"/>
    <w:rsid w:val="004260D7"/>
    <w:rsid w:val="00426FBC"/>
    <w:rsid w:val="00427E1E"/>
    <w:rsid w:val="00437E34"/>
    <w:rsid w:val="00442BDE"/>
    <w:rsid w:val="0044719C"/>
    <w:rsid w:val="00447573"/>
    <w:rsid w:val="00452DA9"/>
    <w:rsid w:val="004548C0"/>
    <w:rsid w:val="0046391C"/>
    <w:rsid w:val="00466A97"/>
    <w:rsid w:val="0047225F"/>
    <w:rsid w:val="004741CB"/>
    <w:rsid w:val="004766F1"/>
    <w:rsid w:val="0048116B"/>
    <w:rsid w:val="00483BEE"/>
    <w:rsid w:val="004844A2"/>
    <w:rsid w:val="00490902"/>
    <w:rsid w:val="00490F5F"/>
    <w:rsid w:val="00491820"/>
    <w:rsid w:val="004A28A5"/>
    <w:rsid w:val="004A3C36"/>
    <w:rsid w:val="004A41AE"/>
    <w:rsid w:val="004A5748"/>
    <w:rsid w:val="004A70CE"/>
    <w:rsid w:val="004B05C4"/>
    <w:rsid w:val="004B32FE"/>
    <w:rsid w:val="004B495A"/>
    <w:rsid w:val="004C33F4"/>
    <w:rsid w:val="004C5DB5"/>
    <w:rsid w:val="004C7A55"/>
    <w:rsid w:val="004D0ABF"/>
    <w:rsid w:val="004D2F66"/>
    <w:rsid w:val="004D38E0"/>
    <w:rsid w:val="004D7A6F"/>
    <w:rsid w:val="004E18AB"/>
    <w:rsid w:val="004E2BE2"/>
    <w:rsid w:val="004E5548"/>
    <w:rsid w:val="004E6282"/>
    <w:rsid w:val="004F2D99"/>
    <w:rsid w:val="004F3AA6"/>
    <w:rsid w:val="004F7A3E"/>
    <w:rsid w:val="00503543"/>
    <w:rsid w:val="0050602C"/>
    <w:rsid w:val="0051125A"/>
    <w:rsid w:val="0051207E"/>
    <w:rsid w:val="005135AB"/>
    <w:rsid w:val="005215D6"/>
    <w:rsid w:val="00526672"/>
    <w:rsid w:val="00526DEB"/>
    <w:rsid w:val="0053287F"/>
    <w:rsid w:val="0054179E"/>
    <w:rsid w:val="00542158"/>
    <w:rsid w:val="00542B2B"/>
    <w:rsid w:val="00543109"/>
    <w:rsid w:val="00551DD3"/>
    <w:rsid w:val="00553175"/>
    <w:rsid w:val="00553991"/>
    <w:rsid w:val="005547E8"/>
    <w:rsid w:val="0055608E"/>
    <w:rsid w:val="0055732E"/>
    <w:rsid w:val="00562A16"/>
    <w:rsid w:val="00563C0E"/>
    <w:rsid w:val="005675D1"/>
    <w:rsid w:val="00575BEF"/>
    <w:rsid w:val="00582499"/>
    <w:rsid w:val="00584043"/>
    <w:rsid w:val="00586E06"/>
    <w:rsid w:val="005A110D"/>
    <w:rsid w:val="005A4C18"/>
    <w:rsid w:val="005B2131"/>
    <w:rsid w:val="005B524E"/>
    <w:rsid w:val="005B588A"/>
    <w:rsid w:val="005B5EC6"/>
    <w:rsid w:val="005C384A"/>
    <w:rsid w:val="005C4667"/>
    <w:rsid w:val="005C5BCB"/>
    <w:rsid w:val="005D175E"/>
    <w:rsid w:val="005E21D6"/>
    <w:rsid w:val="005E515E"/>
    <w:rsid w:val="005F021D"/>
    <w:rsid w:val="005F07A2"/>
    <w:rsid w:val="005F11C7"/>
    <w:rsid w:val="005F2CD4"/>
    <w:rsid w:val="005F3DED"/>
    <w:rsid w:val="005F4EFA"/>
    <w:rsid w:val="005F735A"/>
    <w:rsid w:val="00600B2F"/>
    <w:rsid w:val="00605D8B"/>
    <w:rsid w:val="0061689F"/>
    <w:rsid w:val="006209BF"/>
    <w:rsid w:val="00622FE2"/>
    <w:rsid w:val="006277AB"/>
    <w:rsid w:val="00630B93"/>
    <w:rsid w:val="00632A5C"/>
    <w:rsid w:val="00633D2F"/>
    <w:rsid w:val="00641F91"/>
    <w:rsid w:val="00647E52"/>
    <w:rsid w:val="00651A48"/>
    <w:rsid w:val="006540EF"/>
    <w:rsid w:val="00656A57"/>
    <w:rsid w:val="006644A0"/>
    <w:rsid w:val="00664C5E"/>
    <w:rsid w:val="006657F0"/>
    <w:rsid w:val="00666503"/>
    <w:rsid w:val="006724A1"/>
    <w:rsid w:val="006813F9"/>
    <w:rsid w:val="00685F93"/>
    <w:rsid w:val="006A4ACB"/>
    <w:rsid w:val="006B24E1"/>
    <w:rsid w:val="006B32D6"/>
    <w:rsid w:val="006B72C6"/>
    <w:rsid w:val="006C1A9F"/>
    <w:rsid w:val="006C3DE4"/>
    <w:rsid w:val="006D1AA6"/>
    <w:rsid w:val="006D57CA"/>
    <w:rsid w:val="006E2ED6"/>
    <w:rsid w:val="006E37C2"/>
    <w:rsid w:val="006E3E1A"/>
    <w:rsid w:val="006E4A2C"/>
    <w:rsid w:val="006F1935"/>
    <w:rsid w:val="006F589D"/>
    <w:rsid w:val="0070140E"/>
    <w:rsid w:val="00701F33"/>
    <w:rsid w:val="007041EF"/>
    <w:rsid w:val="00706E39"/>
    <w:rsid w:val="00707A65"/>
    <w:rsid w:val="0071159C"/>
    <w:rsid w:val="0071291C"/>
    <w:rsid w:val="00717651"/>
    <w:rsid w:val="00721FC0"/>
    <w:rsid w:val="007221A3"/>
    <w:rsid w:val="00722536"/>
    <w:rsid w:val="00722E19"/>
    <w:rsid w:val="00725846"/>
    <w:rsid w:val="00733DBF"/>
    <w:rsid w:val="007346C4"/>
    <w:rsid w:val="00735003"/>
    <w:rsid w:val="007354EB"/>
    <w:rsid w:val="00743234"/>
    <w:rsid w:val="007513E2"/>
    <w:rsid w:val="00751B02"/>
    <w:rsid w:val="007552A2"/>
    <w:rsid w:val="00756722"/>
    <w:rsid w:val="0075780B"/>
    <w:rsid w:val="00762FB8"/>
    <w:rsid w:val="00765E0A"/>
    <w:rsid w:val="00767E5F"/>
    <w:rsid w:val="00770E17"/>
    <w:rsid w:val="00774EEF"/>
    <w:rsid w:val="00791630"/>
    <w:rsid w:val="007A05D8"/>
    <w:rsid w:val="007A4034"/>
    <w:rsid w:val="007A4155"/>
    <w:rsid w:val="007A506E"/>
    <w:rsid w:val="007A59D9"/>
    <w:rsid w:val="007A71EA"/>
    <w:rsid w:val="007B4064"/>
    <w:rsid w:val="007B5432"/>
    <w:rsid w:val="007B5D1B"/>
    <w:rsid w:val="007C1BB4"/>
    <w:rsid w:val="007C2847"/>
    <w:rsid w:val="007C2B61"/>
    <w:rsid w:val="007D3A5B"/>
    <w:rsid w:val="007D41D3"/>
    <w:rsid w:val="007E2C32"/>
    <w:rsid w:val="007E7E1B"/>
    <w:rsid w:val="007F306F"/>
    <w:rsid w:val="0080132D"/>
    <w:rsid w:val="00814C3F"/>
    <w:rsid w:val="00820958"/>
    <w:rsid w:val="0083337A"/>
    <w:rsid w:val="008373A9"/>
    <w:rsid w:val="008408D6"/>
    <w:rsid w:val="008439E8"/>
    <w:rsid w:val="00847D48"/>
    <w:rsid w:val="00875FDD"/>
    <w:rsid w:val="00876199"/>
    <w:rsid w:val="008772D7"/>
    <w:rsid w:val="008809F4"/>
    <w:rsid w:val="00880D35"/>
    <w:rsid w:val="00885B5B"/>
    <w:rsid w:val="00892253"/>
    <w:rsid w:val="008B214D"/>
    <w:rsid w:val="008B7353"/>
    <w:rsid w:val="008B7433"/>
    <w:rsid w:val="008C21AF"/>
    <w:rsid w:val="008C2313"/>
    <w:rsid w:val="008C6908"/>
    <w:rsid w:val="008D309B"/>
    <w:rsid w:val="008D627A"/>
    <w:rsid w:val="008E3DDA"/>
    <w:rsid w:val="008E4466"/>
    <w:rsid w:val="008E48D7"/>
    <w:rsid w:val="008E60D2"/>
    <w:rsid w:val="008F078C"/>
    <w:rsid w:val="008F12EB"/>
    <w:rsid w:val="008F236C"/>
    <w:rsid w:val="00902184"/>
    <w:rsid w:val="00902BEF"/>
    <w:rsid w:val="009167E4"/>
    <w:rsid w:val="009173A3"/>
    <w:rsid w:val="00926DDD"/>
    <w:rsid w:val="00926F59"/>
    <w:rsid w:val="009277C3"/>
    <w:rsid w:val="009300BD"/>
    <w:rsid w:val="0093472C"/>
    <w:rsid w:val="009421E8"/>
    <w:rsid w:val="00946248"/>
    <w:rsid w:val="00952076"/>
    <w:rsid w:val="00955F93"/>
    <w:rsid w:val="009562C2"/>
    <w:rsid w:val="00962AB7"/>
    <w:rsid w:val="0096306E"/>
    <w:rsid w:val="0096308E"/>
    <w:rsid w:val="00963BCB"/>
    <w:rsid w:val="00974726"/>
    <w:rsid w:val="009748F6"/>
    <w:rsid w:val="0098187C"/>
    <w:rsid w:val="009828C2"/>
    <w:rsid w:val="00983F3B"/>
    <w:rsid w:val="00990BD9"/>
    <w:rsid w:val="00991EF9"/>
    <w:rsid w:val="00997CCF"/>
    <w:rsid w:val="009A6E1A"/>
    <w:rsid w:val="009B6D1C"/>
    <w:rsid w:val="009C39F2"/>
    <w:rsid w:val="009C412E"/>
    <w:rsid w:val="009C4C2D"/>
    <w:rsid w:val="009C621A"/>
    <w:rsid w:val="009D1F35"/>
    <w:rsid w:val="009D2690"/>
    <w:rsid w:val="009E1399"/>
    <w:rsid w:val="009E1618"/>
    <w:rsid w:val="009E1AA0"/>
    <w:rsid w:val="009E30B4"/>
    <w:rsid w:val="009E50AB"/>
    <w:rsid w:val="009E6DD5"/>
    <w:rsid w:val="009F0BCD"/>
    <w:rsid w:val="009F5A01"/>
    <w:rsid w:val="009F7906"/>
    <w:rsid w:val="00A00C8E"/>
    <w:rsid w:val="00A0100E"/>
    <w:rsid w:val="00A01F9B"/>
    <w:rsid w:val="00A044AE"/>
    <w:rsid w:val="00A06431"/>
    <w:rsid w:val="00A066DB"/>
    <w:rsid w:val="00A11290"/>
    <w:rsid w:val="00A11969"/>
    <w:rsid w:val="00A14B8E"/>
    <w:rsid w:val="00A15966"/>
    <w:rsid w:val="00A24AC6"/>
    <w:rsid w:val="00A25DE4"/>
    <w:rsid w:val="00A33921"/>
    <w:rsid w:val="00A41CC5"/>
    <w:rsid w:val="00A501FA"/>
    <w:rsid w:val="00A522BE"/>
    <w:rsid w:val="00A57515"/>
    <w:rsid w:val="00A60688"/>
    <w:rsid w:val="00A64B27"/>
    <w:rsid w:val="00A65C38"/>
    <w:rsid w:val="00A70EAC"/>
    <w:rsid w:val="00A74BCD"/>
    <w:rsid w:val="00A80DBF"/>
    <w:rsid w:val="00A818A7"/>
    <w:rsid w:val="00A81ADC"/>
    <w:rsid w:val="00A82052"/>
    <w:rsid w:val="00A85213"/>
    <w:rsid w:val="00A87C89"/>
    <w:rsid w:val="00A9046F"/>
    <w:rsid w:val="00A96D2C"/>
    <w:rsid w:val="00AA04EA"/>
    <w:rsid w:val="00AA6109"/>
    <w:rsid w:val="00AB3831"/>
    <w:rsid w:val="00AD3B44"/>
    <w:rsid w:val="00AD5849"/>
    <w:rsid w:val="00AE382B"/>
    <w:rsid w:val="00AE4C87"/>
    <w:rsid w:val="00AF1837"/>
    <w:rsid w:val="00AF57A5"/>
    <w:rsid w:val="00B027F6"/>
    <w:rsid w:val="00B21809"/>
    <w:rsid w:val="00B21B9E"/>
    <w:rsid w:val="00B25FDD"/>
    <w:rsid w:val="00B32404"/>
    <w:rsid w:val="00B354F6"/>
    <w:rsid w:val="00B3607C"/>
    <w:rsid w:val="00B362DB"/>
    <w:rsid w:val="00B4044D"/>
    <w:rsid w:val="00B4149F"/>
    <w:rsid w:val="00B43021"/>
    <w:rsid w:val="00B448CD"/>
    <w:rsid w:val="00B44BB4"/>
    <w:rsid w:val="00B461F7"/>
    <w:rsid w:val="00B501DE"/>
    <w:rsid w:val="00B52AD8"/>
    <w:rsid w:val="00B551AF"/>
    <w:rsid w:val="00B57AF1"/>
    <w:rsid w:val="00B65A76"/>
    <w:rsid w:val="00B6656F"/>
    <w:rsid w:val="00B66CE5"/>
    <w:rsid w:val="00B703E7"/>
    <w:rsid w:val="00B864EA"/>
    <w:rsid w:val="00B86FE5"/>
    <w:rsid w:val="00B92EC3"/>
    <w:rsid w:val="00BA34E5"/>
    <w:rsid w:val="00BA5600"/>
    <w:rsid w:val="00BA67B9"/>
    <w:rsid w:val="00BA6B4E"/>
    <w:rsid w:val="00BC04E8"/>
    <w:rsid w:val="00BC1121"/>
    <w:rsid w:val="00BC18CD"/>
    <w:rsid w:val="00BC3344"/>
    <w:rsid w:val="00BD135E"/>
    <w:rsid w:val="00BD2DDA"/>
    <w:rsid w:val="00BD38A8"/>
    <w:rsid w:val="00BD6A73"/>
    <w:rsid w:val="00BD7EA6"/>
    <w:rsid w:val="00BF75E4"/>
    <w:rsid w:val="00C0377D"/>
    <w:rsid w:val="00C051C4"/>
    <w:rsid w:val="00C05E30"/>
    <w:rsid w:val="00C07843"/>
    <w:rsid w:val="00C15344"/>
    <w:rsid w:val="00C211BE"/>
    <w:rsid w:val="00C21EB8"/>
    <w:rsid w:val="00C25CCD"/>
    <w:rsid w:val="00C26B79"/>
    <w:rsid w:val="00C27534"/>
    <w:rsid w:val="00C361FC"/>
    <w:rsid w:val="00C42C07"/>
    <w:rsid w:val="00C547D0"/>
    <w:rsid w:val="00C55ED7"/>
    <w:rsid w:val="00C64272"/>
    <w:rsid w:val="00C66198"/>
    <w:rsid w:val="00C709AC"/>
    <w:rsid w:val="00C70B2C"/>
    <w:rsid w:val="00C731A9"/>
    <w:rsid w:val="00C7327E"/>
    <w:rsid w:val="00C7495F"/>
    <w:rsid w:val="00C81714"/>
    <w:rsid w:val="00C83F70"/>
    <w:rsid w:val="00C90EBB"/>
    <w:rsid w:val="00C91723"/>
    <w:rsid w:val="00C9299F"/>
    <w:rsid w:val="00C93914"/>
    <w:rsid w:val="00C960E4"/>
    <w:rsid w:val="00CA7DAF"/>
    <w:rsid w:val="00CB6665"/>
    <w:rsid w:val="00CB6FB1"/>
    <w:rsid w:val="00CC0248"/>
    <w:rsid w:val="00CC0400"/>
    <w:rsid w:val="00CD0A56"/>
    <w:rsid w:val="00CE1B57"/>
    <w:rsid w:val="00CE2867"/>
    <w:rsid w:val="00CE3686"/>
    <w:rsid w:val="00CF0645"/>
    <w:rsid w:val="00CF78BA"/>
    <w:rsid w:val="00D060DC"/>
    <w:rsid w:val="00D063F8"/>
    <w:rsid w:val="00D10BDC"/>
    <w:rsid w:val="00D10DF6"/>
    <w:rsid w:val="00D12F97"/>
    <w:rsid w:val="00D1733F"/>
    <w:rsid w:val="00D21C3D"/>
    <w:rsid w:val="00D30900"/>
    <w:rsid w:val="00D31EAC"/>
    <w:rsid w:val="00D3242B"/>
    <w:rsid w:val="00D32B48"/>
    <w:rsid w:val="00D40C93"/>
    <w:rsid w:val="00D46DE4"/>
    <w:rsid w:val="00D47BE8"/>
    <w:rsid w:val="00D545F9"/>
    <w:rsid w:val="00D55743"/>
    <w:rsid w:val="00D561FD"/>
    <w:rsid w:val="00D60D97"/>
    <w:rsid w:val="00D66837"/>
    <w:rsid w:val="00D74A7A"/>
    <w:rsid w:val="00D77390"/>
    <w:rsid w:val="00D866E7"/>
    <w:rsid w:val="00D95208"/>
    <w:rsid w:val="00DA462A"/>
    <w:rsid w:val="00DB33E0"/>
    <w:rsid w:val="00DB7283"/>
    <w:rsid w:val="00DB78AF"/>
    <w:rsid w:val="00DC441C"/>
    <w:rsid w:val="00DC4B07"/>
    <w:rsid w:val="00DC6F0F"/>
    <w:rsid w:val="00DD3192"/>
    <w:rsid w:val="00DD61CD"/>
    <w:rsid w:val="00DE0846"/>
    <w:rsid w:val="00DE6EA8"/>
    <w:rsid w:val="00DE7223"/>
    <w:rsid w:val="00DF26B1"/>
    <w:rsid w:val="00DF2A2E"/>
    <w:rsid w:val="00DF7AB1"/>
    <w:rsid w:val="00DF7CF3"/>
    <w:rsid w:val="00E01144"/>
    <w:rsid w:val="00E054B8"/>
    <w:rsid w:val="00E078DA"/>
    <w:rsid w:val="00E113B5"/>
    <w:rsid w:val="00E15D28"/>
    <w:rsid w:val="00E20D2C"/>
    <w:rsid w:val="00E24F39"/>
    <w:rsid w:val="00E250B2"/>
    <w:rsid w:val="00E45AE1"/>
    <w:rsid w:val="00E501C0"/>
    <w:rsid w:val="00E5375A"/>
    <w:rsid w:val="00E54BF6"/>
    <w:rsid w:val="00E57B62"/>
    <w:rsid w:val="00E64F3E"/>
    <w:rsid w:val="00E74123"/>
    <w:rsid w:val="00E77D73"/>
    <w:rsid w:val="00E82660"/>
    <w:rsid w:val="00E900EF"/>
    <w:rsid w:val="00E903B1"/>
    <w:rsid w:val="00E9403F"/>
    <w:rsid w:val="00EA10A4"/>
    <w:rsid w:val="00EA1D47"/>
    <w:rsid w:val="00EA3380"/>
    <w:rsid w:val="00EA68DC"/>
    <w:rsid w:val="00EC4F2F"/>
    <w:rsid w:val="00EC6607"/>
    <w:rsid w:val="00EE0777"/>
    <w:rsid w:val="00EE1A85"/>
    <w:rsid w:val="00EE2A22"/>
    <w:rsid w:val="00EE5674"/>
    <w:rsid w:val="00EF042C"/>
    <w:rsid w:val="00EF7AD9"/>
    <w:rsid w:val="00F03DA0"/>
    <w:rsid w:val="00F053E9"/>
    <w:rsid w:val="00F05501"/>
    <w:rsid w:val="00F0774F"/>
    <w:rsid w:val="00F15805"/>
    <w:rsid w:val="00F16034"/>
    <w:rsid w:val="00F16AD4"/>
    <w:rsid w:val="00F24D7B"/>
    <w:rsid w:val="00F25A87"/>
    <w:rsid w:val="00F305BE"/>
    <w:rsid w:val="00F30989"/>
    <w:rsid w:val="00F31823"/>
    <w:rsid w:val="00F31C7B"/>
    <w:rsid w:val="00F44C12"/>
    <w:rsid w:val="00F47799"/>
    <w:rsid w:val="00F51011"/>
    <w:rsid w:val="00F55119"/>
    <w:rsid w:val="00F662F2"/>
    <w:rsid w:val="00F72904"/>
    <w:rsid w:val="00F818CD"/>
    <w:rsid w:val="00F865F0"/>
    <w:rsid w:val="00FA0DC6"/>
    <w:rsid w:val="00FA2524"/>
    <w:rsid w:val="00FB0187"/>
    <w:rsid w:val="00FB3B4A"/>
    <w:rsid w:val="00FC22E9"/>
    <w:rsid w:val="00FC6C71"/>
    <w:rsid w:val="00FD003F"/>
    <w:rsid w:val="00FD3991"/>
    <w:rsid w:val="00FD7477"/>
    <w:rsid w:val="00FE042A"/>
    <w:rsid w:val="00FE0D72"/>
    <w:rsid w:val="00FE4D5B"/>
    <w:rsid w:val="00FE782A"/>
    <w:rsid w:val="00FF5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990E"/>
  <w15:docId w15:val="{312EB817-2D79-46D4-837E-FF2C756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B12"/>
    <w:pPr>
      <w:spacing w:after="0" w:line="240" w:lineRule="auto"/>
    </w:pPr>
  </w:style>
  <w:style w:type="paragraph" w:styleId="Ttulo1">
    <w:name w:val="heading 1"/>
    <w:basedOn w:val="Normal"/>
    <w:next w:val="Normal"/>
    <w:link w:val="Ttulo1Car"/>
    <w:autoRedefine/>
    <w:uiPriority w:val="9"/>
    <w:qFormat/>
    <w:rsid w:val="008D309B"/>
    <w:pPr>
      <w:keepNext/>
      <w:spacing w:line="276" w:lineRule="auto"/>
      <w:jc w:val="center"/>
      <w:outlineLvl w:val="0"/>
    </w:pPr>
    <w:rPr>
      <w:rFonts w:ascii="Arial" w:eastAsiaTheme="majorEastAsia" w:hAnsi="Arial" w:cs="Times New Roman"/>
      <w:b/>
      <w:color w:val="9E213D"/>
      <w:sz w:val="28"/>
      <w:szCs w:val="28"/>
      <w:lang w:eastAsia="es-ES"/>
    </w:rPr>
  </w:style>
  <w:style w:type="paragraph" w:styleId="Ttulo2">
    <w:name w:val="heading 2"/>
    <w:basedOn w:val="Normal"/>
    <w:next w:val="Normal"/>
    <w:link w:val="Ttulo2Car"/>
    <w:autoRedefine/>
    <w:uiPriority w:val="9"/>
    <w:qFormat/>
    <w:rsid w:val="000A2655"/>
    <w:pPr>
      <w:keepNext/>
      <w:jc w:val="center"/>
      <w:outlineLvl w:val="1"/>
    </w:pPr>
    <w:rPr>
      <w:rFonts w:ascii="Arial" w:eastAsia="Times New Roman" w:hAnsi="Arial" w:cs="Times New Roman"/>
      <w:b/>
      <w:bCs/>
      <w:i/>
      <w:iCs/>
      <w:sz w:val="28"/>
      <w:szCs w:val="28"/>
      <w:lang w:val="es-ES" w:eastAsia="es-ES"/>
    </w:rPr>
  </w:style>
  <w:style w:type="paragraph" w:styleId="Ttulo3">
    <w:name w:val="heading 3"/>
    <w:basedOn w:val="Normal"/>
    <w:next w:val="Normal"/>
    <w:link w:val="Ttulo3Car"/>
    <w:autoRedefine/>
    <w:uiPriority w:val="9"/>
    <w:qFormat/>
    <w:rsid w:val="00142B12"/>
    <w:pPr>
      <w:keepNext/>
      <w:outlineLvl w:val="2"/>
    </w:pPr>
    <w:rPr>
      <w:rFonts w:ascii="Arial" w:eastAsia="Times New Roman" w:hAnsi="Arial" w:cs="Times New Roman"/>
      <w:b/>
      <w:bCs/>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iPriority w:val="99"/>
    <w:unhideWhenUsed/>
    <w:rsid w:val="00A65C38"/>
    <w:pPr>
      <w:spacing w:after="120"/>
    </w:pPr>
  </w:style>
  <w:style w:type="character" w:customStyle="1" w:styleId="TextoindependienteCar">
    <w:name w:val="Texto independiente Car"/>
    <w:basedOn w:val="Fuentedeprrafopredeter"/>
    <w:link w:val="Textoindependiente"/>
    <w:uiPriority w:val="99"/>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iPriority w:val="99"/>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unhideWhenUsed/>
    <w:rsid w:val="006540EF"/>
    <w:rPr>
      <w:rFonts w:ascii="Segoe UI" w:hAnsi="Segoe UI" w:cs="Segoe UI"/>
      <w:sz w:val="18"/>
      <w:szCs w:val="18"/>
    </w:rPr>
  </w:style>
  <w:style w:type="character" w:customStyle="1" w:styleId="TextodegloboCar">
    <w:name w:val="Texto de globo Car"/>
    <w:basedOn w:val="Fuentedeprrafopredeter"/>
    <w:link w:val="Textodeglobo"/>
    <w:uiPriority w:val="99"/>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uiPriority w:val="9"/>
    <w:rsid w:val="008D309B"/>
    <w:rPr>
      <w:rFonts w:ascii="Arial" w:eastAsiaTheme="majorEastAsia" w:hAnsi="Arial" w:cs="Times New Roman"/>
      <w:b/>
      <w:color w:val="9E213D"/>
      <w:sz w:val="28"/>
      <w:szCs w:val="28"/>
      <w:lang w:eastAsia="es-ES"/>
    </w:rPr>
  </w:style>
  <w:style w:type="character" w:customStyle="1" w:styleId="Ttulo2Car">
    <w:name w:val="Título 2 Car"/>
    <w:basedOn w:val="Fuentedeprrafopredeter"/>
    <w:link w:val="Ttulo2"/>
    <w:uiPriority w:val="9"/>
    <w:rsid w:val="000A2655"/>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uiPriority w:val="9"/>
    <w:rsid w:val="00142B12"/>
    <w:rPr>
      <w:rFonts w:ascii="Arial" w:eastAsia="Times New Roman" w:hAnsi="Arial" w:cs="Times New Roman"/>
      <w:b/>
      <w:bCs/>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Descripcin">
    <w:name w:val="caption"/>
    <w:basedOn w:val="Normal"/>
    <w:next w:val="Normal"/>
    <w:autoRedefine/>
    <w:qFormat/>
    <w:rsid w:val="00B4044D"/>
    <w:pPr>
      <w:jc w:val="both"/>
    </w:pPr>
    <w:rPr>
      <w:rFonts w:ascii="Arial" w:eastAsia="Times New Roman" w:hAnsi="Arial" w:cs="Times New Roman"/>
      <w:b/>
      <w:sz w:val="20"/>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AD3B44"/>
    <w:pPr>
      <w:jc w:val="both"/>
    </w:pPr>
    <w:rPr>
      <w:rFonts w:ascii="Arial" w:eastAsia="Times New Roman" w:hAnsi="Arial" w:cs="Arial"/>
      <w:b/>
      <w:bCs/>
      <w:sz w:val="20"/>
      <w:szCs w:val="20"/>
      <w:lang w:val="es-ES" w:eastAsia="es-ES"/>
    </w:rPr>
  </w:style>
  <w:style w:type="character" w:customStyle="1" w:styleId="SubttuloCar">
    <w:name w:val="Subtítulo Car"/>
    <w:basedOn w:val="Fuentedeprrafopredeter"/>
    <w:link w:val="Subttulo"/>
    <w:rsid w:val="00AD3B44"/>
    <w:rPr>
      <w:rFonts w:ascii="Arial" w:eastAsia="Times New Roman" w:hAnsi="Arial" w:cs="Arial"/>
      <w:b/>
      <w:bCs/>
      <w:sz w:val="20"/>
      <w:szCs w:val="20"/>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142B12"/>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142B12"/>
    <w:rPr>
      <w:rFonts w:ascii="Arial" w:eastAsia="Times New Roman" w:hAnsi="Arial" w:cs="Times New Roman"/>
      <w:b/>
      <w:i/>
      <w:snapToGrid w:val="0"/>
      <w:sz w:val="20"/>
      <w:szCs w:val="20"/>
      <w:u w:val="single"/>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5A66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character" w:customStyle="1" w:styleId="CarCar14">
    <w:name w:val="Car Car14"/>
    <w:semiHidden/>
    <w:rsid w:val="003C0410"/>
    <w:rPr>
      <w:rFonts w:ascii="Calibri" w:eastAsia="Times New Roman" w:hAnsi="Calibri" w:cs="Times New Roman"/>
      <w:b/>
      <w:bCs/>
      <w:sz w:val="28"/>
      <w:szCs w:val="28"/>
      <w:lang w:val="es-ES" w:eastAsia="es-ES"/>
    </w:rPr>
  </w:style>
  <w:style w:type="paragraph" w:styleId="Revisin">
    <w:name w:val="Revision"/>
    <w:hidden/>
    <w:uiPriority w:val="99"/>
    <w:semiHidden/>
    <w:rsid w:val="00733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62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739864756">
      <w:bodyDiv w:val="1"/>
      <w:marLeft w:val="0"/>
      <w:marRight w:val="0"/>
      <w:marTop w:val="0"/>
      <w:marBottom w:val="0"/>
      <w:divBdr>
        <w:top w:val="none" w:sz="0" w:space="0" w:color="auto"/>
        <w:left w:val="none" w:sz="0" w:space="0" w:color="auto"/>
        <w:bottom w:val="none" w:sz="0" w:space="0" w:color="auto"/>
        <w:right w:val="none" w:sz="0" w:space="0" w:color="auto"/>
      </w:divBdr>
    </w:div>
    <w:div w:id="128164548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 w:id="19907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image" Target="media/image30.emf"/><Relationship Id="rId47" Type="http://schemas.openxmlformats.org/officeDocument/2006/relationships/image" Target="media/image35.emf"/><Relationship Id="rId63" Type="http://schemas.openxmlformats.org/officeDocument/2006/relationships/image" Target="media/image51.emf"/><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es.wikipedia.org/wiki/Az%C3%BAcar" TargetMode="Externa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49.emf"/><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fontTable" Target="fontTable.xml"/><Relationship Id="rId8" Type="http://schemas.openxmlformats.org/officeDocument/2006/relationships/hyperlink" Target="http://es.wikipedia.org/wiki/Turismo" TargetMode="Externa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hyperlink" Target="http://es.wikipedia.org/wiki/%C3%81mbar"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footer" Target="footer1.xml"/><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hyperlink" Target="http://es.wikipedia.org/wiki/Miel" TargetMode="Externa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Coffea" TargetMode="Externa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7.emf"/><Relationship Id="rId34" Type="http://schemas.openxmlformats.org/officeDocument/2006/relationships/image" Target="media/image22.emf"/><Relationship Id="rId50" Type="http://schemas.openxmlformats.org/officeDocument/2006/relationships/image" Target="media/image38.emf"/><Relationship Id="rId55" Type="http://schemas.openxmlformats.org/officeDocument/2006/relationships/image" Target="media/image43.emf"/></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_rels/header2.xml.rels><?xml version="1.0" encoding="UTF-8" standalone="yes"?>
<Relationships xmlns="http://schemas.openxmlformats.org/package/2006/relationships"><Relationship Id="rId1" Type="http://schemas.openxmlformats.org/officeDocument/2006/relationships/image" Target="media/image54.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D6A6-C182-491E-BE5A-46708002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7893</Words>
  <Characters>43415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2023-03-15T18:25:00Z</cp:lastPrinted>
  <dcterms:created xsi:type="dcterms:W3CDTF">2024-06-11T20:38:00Z</dcterms:created>
  <dcterms:modified xsi:type="dcterms:W3CDTF">2024-06-11T20:38:00Z</dcterms:modified>
</cp:coreProperties>
</file>